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671FD4" w:rsidRPr="00207431" w14:paraId="6DDC62F3" w14:textId="77777777" w:rsidTr="0056005C">
        <w:tc>
          <w:tcPr>
            <w:tcW w:w="4430" w:type="dxa"/>
            <w:tcBorders>
              <w:top w:val="nil"/>
              <w:left w:val="nil"/>
            </w:tcBorders>
          </w:tcPr>
          <w:p w14:paraId="58F17A09" w14:textId="77777777" w:rsidR="00671FD4" w:rsidRPr="00207431" w:rsidRDefault="00671FD4" w:rsidP="0056005C">
            <w:pPr>
              <w:rPr>
                <w:rFonts w:asciiTheme="majorHAnsi" w:hAnsiTheme="majorHAnsi" w:cstheme="majorHAnsi"/>
                <w:b/>
                <w:szCs w:val="24"/>
              </w:rPr>
            </w:pPr>
            <w:r w:rsidRPr="00207431">
              <w:rPr>
                <w:rFonts w:asciiTheme="majorHAnsi" w:hAnsiTheme="majorHAnsi" w:cstheme="majorHAnsi"/>
                <w:b/>
                <w:noProof/>
                <w:szCs w:val="24"/>
                <w:lang w:eastAsia="en-CA"/>
              </w:rPr>
              <w:drawing>
                <wp:inline distT="0" distB="0" distL="0" distR="0" wp14:anchorId="299E2967" wp14:editId="33A71B3A">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p w14:paraId="42E381BD" w14:textId="77777777" w:rsidR="00671FD4" w:rsidRPr="00207431" w:rsidRDefault="00671FD4" w:rsidP="0056005C">
            <w:pPr>
              <w:rPr>
                <w:rFonts w:asciiTheme="majorHAnsi" w:hAnsiTheme="majorHAnsi" w:cstheme="majorHAnsi"/>
                <w:b/>
                <w:szCs w:val="24"/>
              </w:rPr>
            </w:pPr>
          </w:p>
        </w:tc>
        <w:tc>
          <w:tcPr>
            <w:tcW w:w="6593" w:type="dxa"/>
            <w:gridSpan w:val="2"/>
          </w:tcPr>
          <w:p w14:paraId="2CF4FAAA" w14:textId="77777777" w:rsidR="00671FD4" w:rsidRPr="00207431" w:rsidRDefault="00671FD4" w:rsidP="0056005C">
            <w:pPr>
              <w:jc w:val="right"/>
              <w:rPr>
                <w:rFonts w:asciiTheme="majorHAnsi" w:hAnsiTheme="majorHAnsi" w:cstheme="majorHAnsi"/>
                <w:szCs w:val="24"/>
              </w:rPr>
            </w:pPr>
          </w:p>
          <w:p w14:paraId="1517F0DC" w14:textId="77777777" w:rsidR="00671FD4" w:rsidRPr="00574B71" w:rsidRDefault="00671FD4" w:rsidP="00671FD4">
            <w:pPr>
              <w:jc w:val="right"/>
              <w:rPr>
                <w:b/>
                <w:bCs/>
                <w:lang w:val="fr-CA"/>
              </w:rPr>
            </w:pPr>
            <w:r w:rsidRPr="00574B71">
              <w:rPr>
                <w:b/>
                <w:bCs/>
                <w:lang w:val="fr-CA"/>
              </w:rPr>
              <w:t>POLITIQUES DES EMPLOYÉS</w:t>
            </w:r>
          </w:p>
          <w:p w14:paraId="527FDDDF" w14:textId="77777777" w:rsidR="00671FD4" w:rsidRPr="00574B71" w:rsidRDefault="00671FD4" w:rsidP="00671FD4">
            <w:pPr>
              <w:jc w:val="right"/>
              <w:rPr>
                <w:b/>
                <w:bCs/>
                <w:lang w:val="fr-CA"/>
              </w:rPr>
            </w:pPr>
            <w:r w:rsidRPr="00574B71">
              <w:rPr>
                <w:lang w:val="fr-CA"/>
              </w:rPr>
              <w:t xml:space="preserve">Catégorie : </w:t>
            </w:r>
            <w:r w:rsidRPr="00574B71">
              <w:rPr>
                <w:b/>
                <w:bCs/>
                <w:lang w:val="fr-CA"/>
              </w:rPr>
              <w:t>Accessibilité</w:t>
            </w:r>
          </w:p>
          <w:p w14:paraId="56469C06" w14:textId="67431F62" w:rsidR="00671FD4" w:rsidRPr="00207431" w:rsidRDefault="00671FD4" w:rsidP="0056005C">
            <w:pPr>
              <w:jc w:val="right"/>
              <w:rPr>
                <w:rFonts w:asciiTheme="majorHAnsi" w:hAnsiTheme="majorHAnsi" w:cstheme="majorHAnsi"/>
                <w:b/>
                <w:szCs w:val="24"/>
              </w:rPr>
            </w:pPr>
          </w:p>
        </w:tc>
      </w:tr>
      <w:tr w:rsidR="00671FD4" w:rsidRPr="00207431" w14:paraId="5F39C5E8" w14:textId="77777777" w:rsidTr="0056005C">
        <w:tc>
          <w:tcPr>
            <w:tcW w:w="4430" w:type="dxa"/>
          </w:tcPr>
          <w:p w14:paraId="3ACCFD23" w14:textId="77777777" w:rsidR="00671FD4" w:rsidRPr="00207431" w:rsidRDefault="00671FD4" w:rsidP="0056005C">
            <w:pPr>
              <w:rPr>
                <w:rFonts w:asciiTheme="majorHAnsi" w:hAnsiTheme="majorHAnsi" w:cstheme="majorHAnsi"/>
                <w:szCs w:val="24"/>
              </w:rPr>
            </w:pPr>
          </w:p>
          <w:p w14:paraId="41F0B40C" w14:textId="77777777" w:rsidR="00671FD4" w:rsidRPr="00574B71" w:rsidRDefault="00671FD4" w:rsidP="00671FD4">
            <w:pPr>
              <w:rPr>
                <w:lang w:val="fr-CA"/>
              </w:rPr>
            </w:pPr>
            <w:r w:rsidRPr="00574B71">
              <w:rPr>
                <w:b/>
                <w:bCs/>
                <w:lang w:val="fr-CA"/>
              </w:rPr>
              <w:t>Mise en œuvre :</w:t>
            </w:r>
            <w:r w:rsidRPr="00574B71">
              <w:rPr>
                <w:lang w:val="fr-CA"/>
              </w:rPr>
              <w:t xml:space="preserve"> 1</w:t>
            </w:r>
            <w:r w:rsidRPr="00574B71">
              <w:rPr>
                <w:vertAlign w:val="superscript"/>
                <w:lang w:val="fr-CA"/>
              </w:rPr>
              <w:t>er</w:t>
            </w:r>
            <w:r w:rsidRPr="00574B71">
              <w:rPr>
                <w:lang w:val="fr-CA"/>
              </w:rPr>
              <w:t xml:space="preserve"> septembre 2013 </w:t>
            </w:r>
          </w:p>
          <w:p w14:paraId="64EF3708" w14:textId="4A37F884" w:rsidR="00671FD4" w:rsidRPr="00207431" w:rsidRDefault="00671FD4" w:rsidP="00671FD4">
            <w:pPr>
              <w:rPr>
                <w:rFonts w:asciiTheme="majorHAnsi" w:hAnsiTheme="majorHAnsi" w:cstheme="majorHAnsi"/>
                <w:szCs w:val="24"/>
              </w:rPr>
            </w:pPr>
            <w:r w:rsidRPr="00574B71">
              <w:rPr>
                <w:b/>
                <w:bCs/>
                <w:lang w:val="fr-CA"/>
              </w:rPr>
              <w:t>Revue / Révisée / Approuvée :</w:t>
            </w:r>
            <w:r w:rsidRPr="00574B71">
              <w:rPr>
                <w:lang w:val="fr-CA"/>
              </w:rPr>
              <w:t xml:space="preserve"> 25 août 2016</w:t>
            </w:r>
          </w:p>
        </w:tc>
        <w:tc>
          <w:tcPr>
            <w:tcW w:w="1915" w:type="dxa"/>
          </w:tcPr>
          <w:p w14:paraId="481F2006" w14:textId="77777777" w:rsidR="00671FD4" w:rsidRPr="00207431" w:rsidRDefault="00671FD4" w:rsidP="0056005C">
            <w:pPr>
              <w:rPr>
                <w:rFonts w:asciiTheme="majorHAnsi" w:hAnsiTheme="majorHAnsi" w:cstheme="majorHAnsi"/>
                <w:szCs w:val="24"/>
              </w:rPr>
            </w:pPr>
          </w:p>
          <w:p w14:paraId="3E3D1A61" w14:textId="77777777" w:rsidR="00671FD4" w:rsidRPr="00574B71" w:rsidRDefault="00671FD4" w:rsidP="00671FD4">
            <w:pPr>
              <w:rPr>
                <w:lang w:val="fr-CA"/>
              </w:rPr>
            </w:pPr>
            <w:r w:rsidRPr="00574B71">
              <w:rPr>
                <w:lang w:val="fr-CA"/>
              </w:rPr>
              <w:t>Numéro :</w:t>
            </w:r>
          </w:p>
          <w:p w14:paraId="4929D12E" w14:textId="77777777" w:rsidR="00671FD4" w:rsidRPr="00574B71" w:rsidRDefault="00671FD4" w:rsidP="00671FD4">
            <w:pPr>
              <w:rPr>
                <w:lang w:val="fr-CA"/>
              </w:rPr>
            </w:pPr>
            <w:r w:rsidRPr="00574B71">
              <w:rPr>
                <w:lang w:val="fr-CA"/>
              </w:rPr>
              <w:t xml:space="preserve">AL-AC-C0008 </w:t>
            </w:r>
          </w:p>
          <w:p w14:paraId="7288A969" w14:textId="7D5B9A58" w:rsidR="00671FD4" w:rsidRPr="00207431" w:rsidRDefault="00671FD4" w:rsidP="0056005C">
            <w:pPr>
              <w:rPr>
                <w:rFonts w:asciiTheme="majorHAnsi" w:hAnsiTheme="majorHAnsi" w:cstheme="majorHAnsi"/>
                <w:b/>
                <w:szCs w:val="24"/>
              </w:rPr>
            </w:pPr>
          </w:p>
        </w:tc>
        <w:tc>
          <w:tcPr>
            <w:tcW w:w="4678" w:type="dxa"/>
            <w:shd w:val="clear" w:color="auto" w:fill="D9D9D9" w:themeFill="background1" w:themeFillShade="D9"/>
          </w:tcPr>
          <w:p w14:paraId="7FD81C19" w14:textId="77777777" w:rsidR="00671FD4" w:rsidRPr="00207431" w:rsidRDefault="00671FD4" w:rsidP="0056005C">
            <w:pPr>
              <w:jc w:val="right"/>
              <w:rPr>
                <w:rFonts w:asciiTheme="majorHAnsi" w:hAnsiTheme="majorHAnsi" w:cstheme="majorHAnsi"/>
                <w:b/>
                <w:szCs w:val="24"/>
              </w:rPr>
            </w:pPr>
          </w:p>
          <w:p w14:paraId="675FC459" w14:textId="77777777" w:rsidR="00671FD4" w:rsidRPr="00574B71" w:rsidRDefault="00671FD4" w:rsidP="00671FD4">
            <w:pPr>
              <w:jc w:val="right"/>
              <w:rPr>
                <w:b/>
                <w:bCs/>
                <w:lang w:val="fr-CA"/>
              </w:rPr>
            </w:pPr>
            <w:r w:rsidRPr="00574B71">
              <w:rPr>
                <w:b/>
                <w:bCs/>
                <w:lang w:val="fr-CA"/>
              </w:rPr>
              <w:t xml:space="preserve">ACCESSIBILITÉ DES SERVICES À LA CLIENTÈLE – FORMATION </w:t>
            </w:r>
          </w:p>
          <w:p w14:paraId="3E4E5C5A" w14:textId="77777777" w:rsidR="00671FD4" w:rsidRPr="00207431" w:rsidRDefault="00671FD4" w:rsidP="0056005C">
            <w:pPr>
              <w:jc w:val="right"/>
              <w:rPr>
                <w:rFonts w:asciiTheme="majorHAnsi" w:hAnsiTheme="majorHAnsi" w:cstheme="majorHAnsi"/>
                <w:b/>
                <w:szCs w:val="24"/>
              </w:rPr>
            </w:pPr>
          </w:p>
        </w:tc>
      </w:tr>
    </w:tbl>
    <w:p w14:paraId="04BD8C38" w14:textId="4C686242" w:rsidR="00DA0D6B" w:rsidRPr="00574B71" w:rsidRDefault="00671FD4" w:rsidP="00671FD4">
      <w:pPr>
        <w:rPr>
          <w:sz w:val="18"/>
          <w:szCs w:val="16"/>
          <w:lang w:val="fr-CA"/>
        </w:rPr>
      </w:pPr>
      <w:r w:rsidRPr="00207431">
        <w:rPr>
          <w:rFonts w:asciiTheme="majorHAnsi" w:hAnsiTheme="majorHAnsi" w:cstheme="majorHAnsi"/>
          <w:szCs w:val="24"/>
        </w:rPr>
        <w:t xml:space="preserve"> </w:t>
      </w:r>
    </w:p>
    <w:p w14:paraId="76B8E55B" w14:textId="77777777" w:rsidR="00DA0D6B" w:rsidRPr="00671FD4" w:rsidRDefault="00DA0D6B" w:rsidP="00671FD4">
      <w:pPr>
        <w:shd w:val="clear" w:color="auto" w:fill="D9D9D9" w:themeFill="background1" w:themeFillShade="D9"/>
        <w:jc w:val="center"/>
        <w:rPr>
          <w:rFonts w:cs="Arial"/>
          <w:b/>
          <w:szCs w:val="24"/>
        </w:rPr>
      </w:pPr>
      <w:r w:rsidRPr="00671FD4">
        <w:rPr>
          <w:rFonts w:cs="Arial"/>
          <w:b/>
          <w:szCs w:val="24"/>
        </w:rPr>
        <w:t>POLITIQUE</w:t>
      </w:r>
    </w:p>
    <w:p w14:paraId="2E43C9EC" w14:textId="77777777" w:rsidR="00DA0D6B" w:rsidRPr="00574B71" w:rsidRDefault="00DA0D6B" w:rsidP="00DA0D6B">
      <w:pPr>
        <w:spacing w:after="0"/>
        <w:rPr>
          <w:rFonts w:cs="Arial"/>
          <w:szCs w:val="24"/>
          <w:lang w:val="fr-CA"/>
        </w:rPr>
      </w:pPr>
      <w:r w:rsidRPr="00574B71">
        <w:rPr>
          <w:rFonts w:cs="Arial"/>
          <w:szCs w:val="24"/>
          <w:lang w:val="fr-CA"/>
        </w:rPr>
        <w:t>L’Association canadienne pour la santé mentale (ACSM) s’assure d’offrir à son personnel,</w:t>
      </w:r>
      <w:r>
        <w:rPr>
          <w:rFonts w:cs="Arial"/>
          <w:szCs w:val="24"/>
          <w:lang w:val="fr-CA"/>
        </w:rPr>
        <w:t xml:space="preserve"> à ses bénévoles,</w:t>
      </w:r>
      <w:r w:rsidRPr="00574B71">
        <w:rPr>
          <w:rFonts w:cs="Arial"/>
          <w:szCs w:val="24"/>
          <w:lang w:val="fr-CA"/>
        </w:rPr>
        <w:t xml:space="preserve"> à ses entrepreneurs et à toutes les personnes qui travaillent avec le public, ainsi qu’aux tierces parties qui travaillent au nom de l’ACSM, une formation sur la manière de livrer les services aux personnes handicapées. Les personnes participant à l’élaboration, au contrôle et à la </w:t>
      </w:r>
      <w:r>
        <w:rPr>
          <w:rFonts w:cs="Arial"/>
          <w:szCs w:val="24"/>
          <w:lang w:val="fr-CA"/>
        </w:rPr>
        <w:t>gestion</w:t>
      </w:r>
      <w:r w:rsidRPr="00574B71">
        <w:rPr>
          <w:rFonts w:cs="Arial"/>
          <w:szCs w:val="24"/>
          <w:lang w:val="fr-CA"/>
        </w:rPr>
        <w:t xml:space="preserve"> des politiques, des pratiques et des procédures de l’ACSM doivent également recevoir une formation.</w:t>
      </w:r>
    </w:p>
    <w:p w14:paraId="79A631EE" w14:textId="77777777" w:rsidR="00DA0D6B" w:rsidRPr="00574B71" w:rsidRDefault="00DA0D6B" w:rsidP="00DA0D6B">
      <w:pPr>
        <w:spacing w:after="0"/>
        <w:rPr>
          <w:lang w:val="fr-CA"/>
        </w:rPr>
      </w:pPr>
    </w:p>
    <w:p w14:paraId="77D6776F" w14:textId="77777777" w:rsidR="00DA0D6B" w:rsidRPr="00574B71" w:rsidRDefault="00DA0D6B" w:rsidP="00DA0D6B">
      <w:pPr>
        <w:spacing w:after="0"/>
        <w:rPr>
          <w:lang w:val="fr-CA"/>
        </w:rPr>
      </w:pPr>
      <w:r w:rsidRPr="00574B71">
        <w:rPr>
          <w:lang w:val="fr-CA"/>
        </w:rPr>
        <w:t>Nous nous engageons à livrer une formation continue chaque fois que des changements sont apportés aux politiques, aux pratiques et aux procédures liées au service à la clientèle handicapée, ainsi que lorsqu’une personne est embauchée ou se voit attribuer de nouvelles fonctions.</w:t>
      </w:r>
    </w:p>
    <w:p w14:paraId="79B0E6D0" w14:textId="77777777" w:rsidR="00DA0D6B" w:rsidRPr="00574B71" w:rsidRDefault="00DA0D6B" w:rsidP="00DA0D6B">
      <w:pPr>
        <w:spacing w:after="0"/>
        <w:rPr>
          <w:lang w:val="fr-CA"/>
        </w:rPr>
      </w:pPr>
    </w:p>
    <w:p w14:paraId="1293C5C2" w14:textId="77777777" w:rsidR="00DA0D6B" w:rsidRPr="00671FD4" w:rsidRDefault="00DA0D6B" w:rsidP="00671FD4">
      <w:pPr>
        <w:shd w:val="clear" w:color="auto" w:fill="D9D9D9" w:themeFill="background1" w:themeFillShade="D9"/>
        <w:jc w:val="center"/>
        <w:rPr>
          <w:rFonts w:cs="Arial"/>
          <w:b/>
          <w:szCs w:val="24"/>
        </w:rPr>
      </w:pPr>
      <w:r w:rsidRPr="00671FD4">
        <w:rPr>
          <w:rFonts w:cs="Arial"/>
          <w:b/>
          <w:szCs w:val="24"/>
        </w:rPr>
        <w:t>PROCÉDURE</w:t>
      </w:r>
    </w:p>
    <w:p w14:paraId="4A165142" w14:textId="77777777" w:rsidR="00DA0D6B" w:rsidRPr="00574B71" w:rsidRDefault="00DA0D6B" w:rsidP="00DA0D6B">
      <w:pPr>
        <w:spacing w:after="0"/>
        <w:rPr>
          <w:lang w:val="fr-CA"/>
        </w:rPr>
      </w:pPr>
      <w:r w:rsidRPr="00574B71">
        <w:rPr>
          <w:lang w:val="fr-CA"/>
        </w:rPr>
        <w:t>L’ACSM vise l’excellence dans les services qu’elle procure à toutes les personnes, y compris les personnes handicapées. À cet effet, elle assumera toutes ses fonctions et ses responsabilités dans les domaines suivants :</w:t>
      </w:r>
    </w:p>
    <w:p w14:paraId="55382A24" w14:textId="77777777" w:rsidR="00DA0D6B" w:rsidRPr="00574B71" w:rsidRDefault="00DA0D6B" w:rsidP="00DA0D6B">
      <w:pPr>
        <w:spacing w:after="0"/>
        <w:rPr>
          <w:lang w:val="fr-CA"/>
        </w:rPr>
      </w:pPr>
    </w:p>
    <w:p w14:paraId="66B586C2" w14:textId="77777777" w:rsidR="00DA0D6B" w:rsidRPr="00574B71" w:rsidRDefault="00DA0D6B" w:rsidP="00DA0D6B">
      <w:pPr>
        <w:rPr>
          <w:b/>
          <w:bCs/>
          <w:lang w:val="fr-CA"/>
        </w:rPr>
      </w:pPr>
      <w:r w:rsidRPr="00574B71">
        <w:rPr>
          <w:b/>
          <w:bCs/>
          <w:lang w:val="fr-CA"/>
        </w:rPr>
        <w:t>Formation :</w:t>
      </w:r>
    </w:p>
    <w:p w14:paraId="5CFFBEF4" w14:textId="77777777" w:rsidR="00DA0D6B" w:rsidRPr="00574B71" w:rsidRDefault="00DA0D6B" w:rsidP="00DA0D6B">
      <w:pPr>
        <w:pStyle w:val="ListParagraph"/>
        <w:numPr>
          <w:ilvl w:val="0"/>
          <w:numId w:val="5"/>
        </w:numPr>
        <w:spacing w:after="0"/>
        <w:rPr>
          <w:lang w:val="fr-CA"/>
        </w:rPr>
      </w:pPr>
      <w:r w:rsidRPr="00574B71">
        <w:rPr>
          <w:lang w:val="fr-CA"/>
        </w:rPr>
        <w:t xml:space="preserve">Tous les employés, les mandataires, les bénévoles et les autres personnes doivent recevoir une formation sur la manière de livrer les services aux personnes handicapées. </w:t>
      </w:r>
    </w:p>
    <w:p w14:paraId="5A4D87DB" w14:textId="77777777" w:rsidR="00DA0D6B" w:rsidRPr="00574B71" w:rsidRDefault="00DA0D6B" w:rsidP="00DA0D6B">
      <w:pPr>
        <w:pStyle w:val="ListParagraph"/>
        <w:numPr>
          <w:ilvl w:val="0"/>
          <w:numId w:val="5"/>
        </w:numPr>
        <w:spacing w:after="0"/>
        <w:rPr>
          <w:lang w:val="fr-CA"/>
        </w:rPr>
      </w:pPr>
      <w:r w:rsidRPr="00574B71">
        <w:rPr>
          <w:lang w:val="fr-CA"/>
        </w:rPr>
        <w:t xml:space="preserve">Tous les entrepreneurs tiers qui travaillent avec le public et les autres tierces parties </w:t>
      </w:r>
      <w:r w:rsidRPr="00574B71">
        <w:rPr>
          <w:rFonts w:cs="Arial"/>
          <w:szCs w:val="24"/>
          <w:lang w:val="fr-CA"/>
        </w:rPr>
        <w:t>qui travaillent au nom de l’ACSM</w:t>
      </w:r>
      <w:r w:rsidRPr="00574B71">
        <w:rPr>
          <w:lang w:val="fr-CA"/>
        </w:rPr>
        <w:t xml:space="preserve"> doivent s’assurer que leurs employés, leurs mandataires, leurs sous-traitants, etc., reçoivent une formation en conformité avec la présente politique et le </w:t>
      </w:r>
      <w:r w:rsidRPr="00574B71">
        <w:rPr>
          <w:rFonts w:cs="Arial"/>
          <w:i/>
          <w:szCs w:val="24"/>
          <w:lang w:val="fr-CA"/>
        </w:rPr>
        <w:t xml:space="preserve">Règlement de l’Ontario 429/07 : Normes d’accessibilité pour les services à la clientèle </w:t>
      </w:r>
      <w:r w:rsidRPr="00574B71">
        <w:rPr>
          <w:rFonts w:cs="Arial"/>
          <w:szCs w:val="24"/>
          <w:lang w:val="fr-CA"/>
        </w:rPr>
        <w:t>et, sur demande, doivent présenter à l’ACSM des dossiers de cette formation</w:t>
      </w:r>
      <w:r w:rsidRPr="00574B71">
        <w:rPr>
          <w:lang w:val="fr-CA"/>
        </w:rPr>
        <w:t xml:space="preserve">.  </w:t>
      </w:r>
    </w:p>
    <w:p w14:paraId="6B61C801" w14:textId="77777777" w:rsidR="00DA0D6B" w:rsidRPr="00574B71" w:rsidRDefault="00DA0D6B" w:rsidP="00DA0D6B">
      <w:pPr>
        <w:pStyle w:val="ListParagraph"/>
        <w:numPr>
          <w:ilvl w:val="0"/>
          <w:numId w:val="5"/>
        </w:numPr>
        <w:spacing w:after="0"/>
        <w:rPr>
          <w:lang w:val="fr-CA"/>
        </w:rPr>
      </w:pPr>
      <w:r w:rsidRPr="00574B71">
        <w:rPr>
          <w:lang w:val="fr-CA"/>
        </w:rPr>
        <w:t xml:space="preserve">La formation des employés, des bénévoles et des entrepreneurs tiers de l’ACSM doit comprendre une revue des objectifs de la </w:t>
      </w:r>
      <w:r w:rsidRPr="00574B71">
        <w:rPr>
          <w:rFonts w:cs="Arial"/>
          <w:i/>
          <w:szCs w:val="24"/>
          <w:lang w:val="fr-CA"/>
        </w:rPr>
        <w:t>Loi de 2005 sur l’accessibilité pour les personnes handicapées de l’Ontario</w:t>
      </w:r>
      <w:r w:rsidRPr="00574B71">
        <w:rPr>
          <w:rFonts w:cs="Arial"/>
          <w:szCs w:val="24"/>
          <w:lang w:val="fr-CA"/>
        </w:rPr>
        <w:t xml:space="preserve">, L.O. 2005, chap. 11, et du </w:t>
      </w:r>
      <w:r w:rsidRPr="00574B71">
        <w:rPr>
          <w:rFonts w:cs="Arial"/>
          <w:i/>
          <w:szCs w:val="24"/>
          <w:lang w:val="fr-CA"/>
        </w:rPr>
        <w:t>Règlement de l’Ontario 429/07 : Normes d’accessibilité pour les services à la clientèle</w:t>
      </w:r>
      <w:r w:rsidRPr="00574B71">
        <w:rPr>
          <w:rFonts w:cs="Arial"/>
          <w:szCs w:val="24"/>
          <w:lang w:val="fr-CA"/>
        </w:rPr>
        <w:t>, des exigences de la présente politique et des autres politiques, pratiques et procédures organisationnelles qui se rapportent à la prestation de biens et de services aux personnes handicapées, ainsi qu’une éducation sur les sujets suivants :</w:t>
      </w:r>
    </w:p>
    <w:p w14:paraId="2142BA56" w14:textId="77777777" w:rsidR="00DA0D6B" w:rsidRPr="00574B71" w:rsidRDefault="00DA0D6B" w:rsidP="00DA0D6B">
      <w:pPr>
        <w:pStyle w:val="ListParagraph"/>
        <w:numPr>
          <w:ilvl w:val="0"/>
          <w:numId w:val="6"/>
        </w:numPr>
        <w:spacing w:after="0"/>
        <w:rPr>
          <w:lang w:val="fr-CA"/>
        </w:rPr>
      </w:pPr>
      <w:proofErr w:type="gramStart"/>
      <w:r w:rsidRPr="00574B71">
        <w:rPr>
          <w:rFonts w:cs="Arial"/>
          <w:szCs w:val="24"/>
          <w:lang w:val="fr-CA"/>
        </w:rPr>
        <w:t>la</w:t>
      </w:r>
      <w:proofErr w:type="gramEnd"/>
      <w:r w:rsidRPr="00574B71">
        <w:rPr>
          <w:rFonts w:cs="Arial"/>
          <w:szCs w:val="24"/>
          <w:lang w:val="fr-CA"/>
        </w:rPr>
        <w:t xml:space="preserve"> manière d’interagir et de communiquer avec les personnes aux prises avec divers types de handicaps</w:t>
      </w:r>
      <w:r w:rsidRPr="00574B71">
        <w:rPr>
          <w:lang w:val="fr-CA"/>
        </w:rPr>
        <w:t>;</w:t>
      </w:r>
    </w:p>
    <w:p w14:paraId="17F34558" w14:textId="77777777" w:rsidR="00DA0D6B" w:rsidRPr="00574B71" w:rsidRDefault="00DA0D6B" w:rsidP="00DA0D6B">
      <w:pPr>
        <w:pStyle w:val="ListParagraph"/>
        <w:numPr>
          <w:ilvl w:val="0"/>
          <w:numId w:val="6"/>
        </w:numPr>
        <w:spacing w:after="0"/>
        <w:rPr>
          <w:lang w:val="fr-CA"/>
        </w:rPr>
      </w:pPr>
      <w:proofErr w:type="gramStart"/>
      <w:r w:rsidRPr="00574B71">
        <w:rPr>
          <w:rFonts w:cs="Arial"/>
          <w:szCs w:val="24"/>
          <w:lang w:val="fr-CA"/>
        </w:rPr>
        <w:t>la</w:t>
      </w:r>
      <w:proofErr w:type="gramEnd"/>
      <w:r w:rsidRPr="00574B71">
        <w:rPr>
          <w:rFonts w:cs="Arial"/>
          <w:szCs w:val="24"/>
          <w:lang w:val="fr-CA"/>
        </w:rPr>
        <w:t xml:space="preserve"> manière d’interagir avec les personnes</w:t>
      </w:r>
      <w:r>
        <w:rPr>
          <w:rFonts w:cs="Arial"/>
          <w:szCs w:val="24"/>
          <w:lang w:val="fr-CA"/>
        </w:rPr>
        <w:t xml:space="preserve"> handicapées</w:t>
      </w:r>
      <w:r w:rsidRPr="00574B71">
        <w:rPr>
          <w:rFonts w:cs="Arial"/>
          <w:szCs w:val="24"/>
          <w:lang w:val="fr-CA"/>
        </w:rPr>
        <w:t xml:space="preserve"> qui utilisent un appareil fonctionnel ou qui ont besoin d’un chien d’aveugle ou d’un autre type d’animal d’assistance ou encore d’une personne de soutien;</w:t>
      </w:r>
    </w:p>
    <w:p w14:paraId="6AB7FB1C" w14:textId="77777777" w:rsidR="00DA0D6B" w:rsidRPr="00574B71" w:rsidRDefault="00DA0D6B" w:rsidP="00DA0D6B">
      <w:pPr>
        <w:pStyle w:val="ListParagraph"/>
        <w:numPr>
          <w:ilvl w:val="0"/>
          <w:numId w:val="6"/>
        </w:numPr>
        <w:spacing w:after="0"/>
        <w:rPr>
          <w:lang w:val="fr-CA"/>
        </w:rPr>
      </w:pPr>
      <w:proofErr w:type="gramStart"/>
      <w:r w:rsidRPr="00574B71">
        <w:rPr>
          <w:rFonts w:cs="Arial"/>
          <w:szCs w:val="24"/>
          <w:lang w:val="fr-CA"/>
        </w:rPr>
        <w:lastRenderedPageBreak/>
        <w:t>la</w:t>
      </w:r>
      <w:proofErr w:type="gramEnd"/>
      <w:r w:rsidRPr="00574B71">
        <w:rPr>
          <w:rFonts w:cs="Arial"/>
          <w:szCs w:val="24"/>
          <w:lang w:val="fr-CA"/>
        </w:rPr>
        <w:t xml:space="preserve"> manière d’utiliser l’équipement et les appareils disponibles sur les lieux de l’ACSM ou fournis par un prestataire qui peuvent aider à livrer les biens et les services à une personne handicapée;</w:t>
      </w:r>
    </w:p>
    <w:p w14:paraId="2F295F94" w14:textId="77777777" w:rsidR="00DA0D6B" w:rsidRPr="00574B71" w:rsidRDefault="00DA0D6B" w:rsidP="00DA0D6B">
      <w:pPr>
        <w:pStyle w:val="ListParagraph"/>
        <w:numPr>
          <w:ilvl w:val="0"/>
          <w:numId w:val="6"/>
        </w:numPr>
        <w:spacing w:after="0"/>
        <w:rPr>
          <w:lang w:val="fr-CA"/>
        </w:rPr>
      </w:pPr>
      <w:proofErr w:type="gramStart"/>
      <w:r w:rsidRPr="00574B71">
        <w:rPr>
          <w:lang w:val="fr-CA"/>
        </w:rPr>
        <w:t>les</w:t>
      </w:r>
      <w:proofErr w:type="gramEnd"/>
      <w:r w:rsidRPr="00574B71">
        <w:rPr>
          <w:lang w:val="fr-CA"/>
        </w:rPr>
        <w:t xml:space="preserve"> choses à faire si une personne avec un type de handicap précis a de la difficulté à obtenir les biens ou les services de l’ACSM;</w:t>
      </w:r>
    </w:p>
    <w:p w14:paraId="614474A6" w14:textId="77777777" w:rsidR="00DA0D6B" w:rsidRPr="00574B71" w:rsidRDefault="00DA0D6B" w:rsidP="00DA0D6B">
      <w:pPr>
        <w:pStyle w:val="ListParagraph"/>
        <w:numPr>
          <w:ilvl w:val="0"/>
          <w:numId w:val="6"/>
        </w:numPr>
        <w:spacing w:after="0"/>
        <w:rPr>
          <w:lang w:val="fr-CA"/>
        </w:rPr>
      </w:pPr>
      <w:proofErr w:type="gramStart"/>
      <w:r w:rsidRPr="00574B71">
        <w:rPr>
          <w:lang w:val="fr-CA"/>
        </w:rPr>
        <w:t>les</w:t>
      </w:r>
      <w:proofErr w:type="gramEnd"/>
      <w:r w:rsidRPr="00574B71">
        <w:rPr>
          <w:lang w:val="fr-CA"/>
        </w:rPr>
        <w:t xml:space="preserve"> politiques, les procédures et les pratiques de l’ACSM qui se rapportent à</w:t>
      </w:r>
      <w:r w:rsidRPr="00574B71">
        <w:rPr>
          <w:rFonts w:cs="Arial"/>
          <w:szCs w:val="24"/>
          <w:lang w:val="fr-CA"/>
        </w:rPr>
        <w:t xml:space="preserve"> la prestation de biens et de services aux personnes handicapées</w:t>
      </w:r>
      <w:r w:rsidRPr="00574B71">
        <w:rPr>
          <w:lang w:val="fr-CA"/>
        </w:rPr>
        <w:t xml:space="preserve">. </w:t>
      </w:r>
    </w:p>
    <w:p w14:paraId="1A3BF3E0" w14:textId="77777777" w:rsidR="00DA0D6B" w:rsidRPr="00574B71" w:rsidRDefault="00DA0D6B" w:rsidP="00DA0D6B">
      <w:pPr>
        <w:pStyle w:val="ListParagraph"/>
        <w:numPr>
          <w:ilvl w:val="0"/>
          <w:numId w:val="5"/>
        </w:numPr>
        <w:spacing w:after="0"/>
        <w:rPr>
          <w:lang w:val="fr-CA"/>
        </w:rPr>
      </w:pPr>
      <w:r w:rsidRPr="00574B71">
        <w:rPr>
          <w:lang w:val="fr-CA"/>
        </w:rPr>
        <w:t xml:space="preserve">La formation sur le service à la clientèle peut prendre différentes formes. Elle peut être livrée dans le cadre d’une orientation ou encore en tant que programme de formation distinct. Elle peut être offerte par l’entremise de documents distribués durant une séance d’orientation ou encore dans une salle de classe, par l’entremise d’une vidéo ou dans d’autres formats. </w:t>
      </w:r>
    </w:p>
    <w:p w14:paraId="09079D9D" w14:textId="77777777" w:rsidR="00DA0D6B" w:rsidRPr="00574B71" w:rsidRDefault="00DA0D6B" w:rsidP="00DA0D6B">
      <w:pPr>
        <w:pStyle w:val="ListParagraph"/>
        <w:numPr>
          <w:ilvl w:val="0"/>
          <w:numId w:val="5"/>
        </w:numPr>
        <w:spacing w:after="0"/>
        <w:rPr>
          <w:lang w:val="fr-CA"/>
        </w:rPr>
      </w:pPr>
      <w:r w:rsidRPr="00574B71">
        <w:rPr>
          <w:lang w:val="fr-CA"/>
        </w:rPr>
        <w:t xml:space="preserve">L’ACSM doit fournir une formation à toutes les personnes une fois par année et à chaque personne dès </w:t>
      </w:r>
      <w:r>
        <w:rPr>
          <w:lang w:val="fr-CA"/>
        </w:rPr>
        <w:t xml:space="preserve">que possible après </w:t>
      </w:r>
      <w:r w:rsidRPr="00574B71">
        <w:rPr>
          <w:lang w:val="fr-CA"/>
        </w:rPr>
        <w:t xml:space="preserve">que celle-ci se voit attribuer des fonctions applicables. La formation doit aussi être livrée régulièrement pour traiter de tout changement apporté aux lois pertinentes et aux politiques, aux procédures et aux pratiques organisationnelles qui régissent la prestation de biens et de services aux personnes handicapées. Toutes les personnes recevant cette formation doivent signer et déposer un formulaire de confirmation de la formation. (Voir </w:t>
      </w:r>
      <w:r>
        <w:rPr>
          <w:lang w:val="fr-CA"/>
        </w:rPr>
        <w:t xml:space="preserve">les renseignements sur </w:t>
      </w:r>
      <w:r w:rsidRPr="00574B71">
        <w:rPr>
          <w:lang w:val="fr-CA"/>
        </w:rPr>
        <w:t>le dossier de formation</w:t>
      </w:r>
      <w:r>
        <w:rPr>
          <w:lang w:val="fr-CA"/>
        </w:rPr>
        <w:t>.</w:t>
      </w:r>
      <w:r w:rsidRPr="00574B71">
        <w:rPr>
          <w:lang w:val="fr-CA"/>
        </w:rPr>
        <w:t xml:space="preserve">) </w:t>
      </w:r>
    </w:p>
    <w:p w14:paraId="04363D39" w14:textId="77777777" w:rsidR="00DA0D6B" w:rsidRPr="00574B71" w:rsidRDefault="00DA0D6B" w:rsidP="00DA0D6B">
      <w:pPr>
        <w:pStyle w:val="ListParagraph"/>
        <w:numPr>
          <w:ilvl w:val="0"/>
          <w:numId w:val="5"/>
        </w:numPr>
        <w:spacing w:after="0"/>
        <w:rPr>
          <w:lang w:val="fr-CA"/>
        </w:rPr>
      </w:pPr>
      <w:r w:rsidRPr="00574B71">
        <w:rPr>
          <w:lang w:val="fr-CA"/>
        </w:rPr>
        <w:t xml:space="preserve">Comme l’exige le </w:t>
      </w:r>
      <w:r w:rsidRPr="00574B71">
        <w:rPr>
          <w:rFonts w:cs="Arial"/>
          <w:i/>
          <w:szCs w:val="24"/>
          <w:lang w:val="fr-CA"/>
        </w:rPr>
        <w:t>Règlement de l’Ontario 429/07 : Normes d’accessibilité pour les services à la clientèle</w:t>
      </w:r>
      <w:r w:rsidRPr="00574B71">
        <w:rPr>
          <w:rFonts w:cs="Arial"/>
          <w:szCs w:val="24"/>
          <w:lang w:val="fr-CA"/>
        </w:rPr>
        <w:t>, l’ACSM doit tenir des dossiers dans lesquels elle enregistre les détails de la formation offerte, ainsi que le nom des personnes ayant reçu la formation, de même que le lieu et la date de cette formation</w:t>
      </w:r>
      <w:r w:rsidRPr="00574B71">
        <w:rPr>
          <w:lang w:val="fr-CA"/>
        </w:rPr>
        <w:t xml:space="preserve">.  </w:t>
      </w:r>
    </w:p>
    <w:p w14:paraId="2FD75520" w14:textId="77777777" w:rsidR="00DA0D6B" w:rsidRPr="00574B71" w:rsidRDefault="00DA0D6B" w:rsidP="00DA0D6B">
      <w:pPr>
        <w:jc w:val="center"/>
        <w:rPr>
          <w:b/>
          <w:bCs/>
          <w:sz w:val="12"/>
          <w:szCs w:val="10"/>
          <w:u w:val="single"/>
          <w:lang w:val="fr-CA"/>
        </w:rPr>
      </w:pPr>
    </w:p>
    <w:p w14:paraId="72E986E9" w14:textId="77777777" w:rsidR="00DA0D6B" w:rsidRPr="00671FD4" w:rsidRDefault="00DA0D6B" w:rsidP="00671FD4">
      <w:pPr>
        <w:shd w:val="clear" w:color="auto" w:fill="D9D9D9" w:themeFill="background1" w:themeFillShade="D9"/>
        <w:jc w:val="center"/>
        <w:rPr>
          <w:rFonts w:cs="Arial"/>
          <w:b/>
          <w:szCs w:val="24"/>
        </w:rPr>
      </w:pPr>
      <w:r w:rsidRPr="00671FD4">
        <w:rPr>
          <w:rFonts w:cs="Arial"/>
          <w:b/>
          <w:szCs w:val="24"/>
        </w:rPr>
        <w:t>DOCUMENTS DE RÉFÉRENCE</w:t>
      </w:r>
    </w:p>
    <w:p w14:paraId="03E99421" w14:textId="77777777" w:rsidR="00DA0D6B" w:rsidRPr="00574B71" w:rsidRDefault="00DA0D6B" w:rsidP="00DA0D6B">
      <w:pPr>
        <w:rPr>
          <w:lang w:val="fr-CA"/>
        </w:rPr>
      </w:pPr>
      <w:r w:rsidRPr="00574B71">
        <w:rPr>
          <w:lang w:val="fr-CA"/>
        </w:rPr>
        <w:t>RESPONSABLE : Directeur général / Directrice générale</w:t>
      </w:r>
    </w:p>
    <w:p w14:paraId="22A637DC" w14:textId="77777777" w:rsidR="008A0B0B" w:rsidRPr="00A54FB5" w:rsidRDefault="008A0B0B" w:rsidP="00A54FB5"/>
    <w:sectPr w:rsidR="008A0B0B" w:rsidRPr="00A54FB5" w:rsidSect="00671FD4">
      <w:footerReference w:type="default" r:id="rId9"/>
      <w:pgSz w:w="12240" w:h="15840" w:code="1"/>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069F6" w14:textId="77777777" w:rsidR="00671FD4" w:rsidRDefault="00671FD4" w:rsidP="00671FD4">
      <w:pPr>
        <w:spacing w:after="0" w:line="240" w:lineRule="auto"/>
      </w:pPr>
      <w:r>
        <w:separator/>
      </w:r>
    </w:p>
  </w:endnote>
  <w:endnote w:type="continuationSeparator" w:id="0">
    <w:p w14:paraId="6BE1169E" w14:textId="77777777" w:rsidR="00671FD4" w:rsidRDefault="00671FD4" w:rsidP="0067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671FD4" w:rsidRPr="000A2186" w14:paraId="46337FFA" w14:textId="77777777" w:rsidTr="0056005C">
      <w:tc>
        <w:tcPr>
          <w:tcW w:w="918" w:type="dxa"/>
          <w:tcBorders>
            <w:top w:val="single" w:sz="4" w:space="0" w:color="auto"/>
            <w:right w:val="single" w:sz="4" w:space="0" w:color="auto"/>
          </w:tcBorders>
        </w:tcPr>
        <w:p w14:paraId="24892DFD" w14:textId="77777777" w:rsidR="00671FD4" w:rsidRPr="000A2186" w:rsidRDefault="00671FD4" w:rsidP="00671FD4">
          <w:pPr>
            <w:pStyle w:val="Footer"/>
            <w:spacing w:before="60"/>
            <w:jc w:val="right"/>
            <w:rPr>
              <w:rFonts w:cs="Arial"/>
              <w:bCs/>
              <w:color w:val="00B1B0"/>
              <w:sz w:val="14"/>
              <w:szCs w:val="14"/>
              <w14:numForm w14:val="oldStyle"/>
            </w:rPr>
          </w:pP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begin"/>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instrText xml:space="preserve"> PAGE   \* MERGEFORMAT </w:instrText>
          </w:r>
          <w:r w:rsidRPr="000A2186">
            <w:rPr>
              <w:rFonts w:cs="Arial"/>
              <w:color w:val="00B1B0"/>
              <w:sz w:val="14"/>
              <w:szCs w:val="14"/>
              <w14:shadow w14:blurRad="50800" w14:dist="38100" w14:dir="2700000" w14:sx="100000" w14:sy="100000" w14:kx="0" w14:ky="0" w14:algn="tl">
                <w14:srgbClr w14:val="000000">
                  <w14:alpha w14:val="60000"/>
                </w14:srgbClr>
              </w14:shadow>
              <w14:numForm w14:val="oldStyle"/>
            </w:rPr>
            <w:fldChar w:fldCharType="separate"/>
          </w:r>
          <w:r w:rsidRPr="0015413A">
            <w:rPr>
              <w:rFonts w:cs="Arial"/>
              <w:bCs/>
              <w:noProof/>
              <w:color w:val="00B1B0"/>
              <w:sz w:val="14"/>
              <w:szCs w:val="14"/>
              <w14:shadow w14:blurRad="50800" w14:dist="38100" w14:dir="2700000" w14:sx="100000" w14:sy="100000" w14:kx="0" w14:ky="0" w14:algn="tl">
                <w14:srgbClr w14:val="000000">
                  <w14:alpha w14:val="60000"/>
                </w14:srgbClr>
              </w14:shadow>
              <w14:numForm w14:val="oldStyle"/>
            </w:rPr>
            <w:t>2</w:t>
          </w:r>
          <w:r w:rsidRPr="000A2186">
            <w:rPr>
              <w:rFonts w:cs="Arial"/>
              <w:bCs/>
              <w:noProof/>
              <w:color w:val="00B1B0"/>
              <w:sz w:val="14"/>
              <w:szCs w:val="14"/>
              <w14:shadow w14:blurRad="50800" w14:dist="38100" w14:dir="2700000" w14:sx="100000" w14:sy="100000" w14:kx="0" w14:ky="0" w14:algn="tl">
                <w14:srgbClr w14:val="000000">
                  <w14:alpha w14:val="60000"/>
                </w14:srgbClr>
              </w14:shadow>
              <w14:numForm w14:val="oldStyle"/>
            </w:rPr>
            <w:fldChar w:fldCharType="end"/>
          </w:r>
          <w:r>
            <w:rPr>
              <w:rFonts w:cs="Arial"/>
              <w:bCs/>
              <w:noProof/>
              <w:color w:val="00B1B0"/>
              <w:sz w:val="14"/>
              <w:szCs w:val="14"/>
              <w14:shadow w14:blurRad="50800" w14:dist="38100" w14:dir="2700000" w14:sx="100000" w14:sy="100000" w14:kx="0" w14:ky="0" w14:algn="tl">
                <w14:srgbClr w14:val="000000">
                  <w14:alpha w14:val="60000"/>
                </w14:srgbClr>
              </w14:shadow>
              <w14:numForm w14:val="oldStyle"/>
            </w:rPr>
            <w:t>/2</w:t>
          </w:r>
        </w:p>
      </w:tc>
      <w:tc>
        <w:tcPr>
          <w:tcW w:w="7938" w:type="dxa"/>
          <w:tcBorders>
            <w:top w:val="single" w:sz="4" w:space="0" w:color="auto"/>
            <w:left w:val="single" w:sz="4" w:space="0" w:color="auto"/>
          </w:tcBorders>
        </w:tcPr>
        <w:p w14:paraId="3DB612A2" w14:textId="77777777" w:rsidR="00671FD4" w:rsidRPr="00CD1F31" w:rsidRDefault="00671FD4" w:rsidP="00671FD4">
          <w:pPr>
            <w:pStyle w:val="Footer"/>
            <w:spacing w:before="60"/>
            <w:jc w:val="right"/>
            <w:rPr>
              <w:rFonts w:cs="Arial"/>
              <w:color w:val="00B1B0"/>
              <w:sz w:val="14"/>
              <w:szCs w:val="14"/>
            </w:rPr>
          </w:pPr>
          <w:r w:rsidRPr="000A2186">
            <w:rPr>
              <w:rFonts w:cs="Arial"/>
              <w:color w:val="00B1B0"/>
              <w:sz w:val="14"/>
              <w:szCs w:val="14"/>
            </w:rPr>
            <w:t xml:space="preserve">CMHA S/M </w:t>
          </w:r>
          <w:r>
            <w:rPr>
              <w:rFonts w:cs="Arial"/>
              <w:color w:val="00B1B0"/>
              <w:sz w:val="14"/>
              <w:szCs w:val="14"/>
            </w:rPr>
            <w:t>EMPLOYEE</w:t>
          </w:r>
          <w:r w:rsidRPr="000A2186">
            <w:rPr>
              <w:rFonts w:cs="Arial"/>
              <w:color w:val="00B1B0"/>
              <w:sz w:val="14"/>
              <w:szCs w:val="14"/>
            </w:rPr>
            <w:t xml:space="preserve"> POLICIES: </w:t>
          </w:r>
          <w:r>
            <w:rPr>
              <w:rFonts w:cs="Arial"/>
              <w:color w:val="00B1B0"/>
              <w:sz w:val="14"/>
              <w:szCs w:val="14"/>
            </w:rPr>
            <w:t>Accessible Customer Service – Training</w:t>
          </w:r>
          <w:r w:rsidRPr="00130FDD">
            <w:rPr>
              <w:rFonts w:cs="Arial"/>
              <w:color w:val="00B1B0"/>
              <w:sz w:val="12"/>
              <w:szCs w:val="12"/>
            </w:rPr>
            <w:t xml:space="preserve"> </w:t>
          </w:r>
        </w:p>
        <w:p w14:paraId="0CF5B4E2" w14:textId="77777777" w:rsidR="00671FD4" w:rsidRPr="000A2186" w:rsidRDefault="00671FD4" w:rsidP="00671FD4">
          <w:pPr>
            <w:pStyle w:val="Footer"/>
            <w:spacing w:before="60"/>
            <w:jc w:val="right"/>
            <w:rPr>
              <w:rFonts w:cs="Arial"/>
              <w:color w:val="00B1B0"/>
              <w:sz w:val="14"/>
              <w:szCs w:val="14"/>
            </w:rPr>
          </w:pPr>
        </w:p>
        <w:p w14:paraId="49290862" w14:textId="77777777" w:rsidR="00671FD4" w:rsidRPr="000A2186" w:rsidRDefault="00671FD4" w:rsidP="00671FD4">
          <w:pPr>
            <w:pStyle w:val="Footer"/>
            <w:spacing w:before="60"/>
            <w:rPr>
              <w:rFonts w:cs="Arial"/>
              <w:color w:val="00B1B0"/>
              <w:sz w:val="14"/>
              <w:szCs w:val="14"/>
            </w:rPr>
          </w:pPr>
        </w:p>
      </w:tc>
    </w:tr>
  </w:tbl>
  <w:p w14:paraId="3B24670F" w14:textId="77777777" w:rsidR="00671FD4" w:rsidRPr="00671FD4" w:rsidRDefault="00671FD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C7659" w14:textId="77777777" w:rsidR="00671FD4" w:rsidRDefault="00671FD4" w:rsidP="00671FD4">
      <w:pPr>
        <w:spacing w:after="0" w:line="240" w:lineRule="auto"/>
      </w:pPr>
      <w:r>
        <w:separator/>
      </w:r>
    </w:p>
  </w:footnote>
  <w:footnote w:type="continuationSeparator" w:id="0">
    <w:p w14:paraId="200E14B6" w14:textId="77777777" w:rsidR="00671FD4" w:rsidRDefault="00671FD4" w:rsidP="00671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F506C"/>
    <w:multiLevelType w:val="hybridMultilevel"/>
    <w:tmpl w:val="88FA646C"/>
    <w:lvl w:ilvl="0" w:tplc="D9900B8C">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7955AD2"/>
    <w:multiLevelType w:val="hybridMultilevel"/>
    <w:tmpl w:val="2E1C42BE"/>
    <w:lvl w:ilvl="0" w:tplc="EE32A5FE">
      <w:start w:val="1"/>
      <w:numFmt w:val="decimal"/>
      <w:lvlText w:val="%1."/>
      <w:lvlJc w:val="left"/>
      <w:pPr>
        <w:ind w:left="360" w:hanging="360"/>
      </w:pPr>
      <w:rPr>
        <w:rFonts w:hint="default"/>
        <w:lang w:val="fr-FR"/>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AFB43A5"/>
    <w:multiLevelType w:val="hybridMultilevel"/>
    <w:tmpl w:val="D03057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294FE7"/>
    <w:multiLevelType w:val="hybridMultilevel"/>
    <w:tmpl w:val="FD228E3C"/>
    <w:lvl w:ilvl="0" w:tplc="1009000F">
      <w:start w:val="1"/>
      <w:numFmt w:val="decimal"/>
      <w:lvlText w:val="%1."/>
      <w:lvlJc w:val="left"/>
      <w:pPr>
        <w:ind w:left="360" w:hanging="360"/>
      </w:pPr>
      <w:rPr>
        <w:rFonts w:hint="default"/>
      </w:rPr>
    </w:lvl>
    <w:lvl w:ilvl="1" w:tplc="DEF4EDF6">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9975BD6"/>
    <w:multiLevelType w:val="hybridMultilevel"/>
    <w:tmpl w:val="65F49F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AAD06EA"/>
    <w:multiLevelType w:val="hybridMultilevel"/>
    <w:tmpl w:val="D9A4ED4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5C"/>
    <w:rsid w:val="001B5A83"/>
    <w:rsid w:val="0036105C"/>
    <w:rsid w:val="00671FD4"/>
    <w:rsid w:val="00877F95"/>
    <w:rsid w:val="008A0B0B"/>
    <w:rsid w:val="00A54FB5"/>
    <w:rsid w:val="00DA0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C70C"/>
  <w15:chartTrackingRefBased/>
  <w15:docId w15:val="{D3218BE8-59F8-4075-AE3B-3D2EC4A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5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05C"/>
    <w:pPr>
      <w:ind w:left="720"/>
      <w:contextualSpacing/>
    </w:pPr>
  </w:style>
  <w:style w:type="paragraph" w:styleId="Header">
    <w:name w:val="header"/>
    <w:basedOn w:val="Normal"/>
    <w:link w:val="HeaderChar"/>
    <w:uiPriority w:val="99"/>
    <w:unhideWhenUsed/>
    <w:rsid w:val="00671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D4"/>
    <w:rPr>
      <w:rFonts w:ascii="Arial" w:hAnsi="Arial"/>
      <w:sz w:val="24"/>
    </w:rPr>
  </w:style>
  <w:style w:type="paragraph" w:styleId="Footer">
    <w:name w:val="footer"/>
    <w:basedOn w:val="Normal"/>
    <w:link w:val="FooterChar"/>
    <w:uiPriority w:val="99"/>
    <w:unhideWhenUsed/>
    <w:rsid w:val="00671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Lamb</dc:creator>
  <cp:keywords/>
  <dc:description/>
  <cp:lastModifiedBy>Harriet Lamb</cp:lastModifiedBy>
  <cp:revision>2</cp:revision>
  <dcterms:created xsi:type="dcterms:W3CDTF">2021-09-16T18:42:00Z</dcterms:created>
  <dcterms:modified xsi:type="dcterms:W3CDTF">2021-09-16T18:42:00Z</dcterms:modified>
</cp:coreProperties>
</file>