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120C93" w:rsidRPr="005D5928" w14:paraId="61AB1DFA" w14:textId="77777777" w:rsidTr="00945A36">
        <w:tc>
          <w:tcPr>
            <w:tcW w:w="4430" w:type="dxa"/>
            <w:tcBorders>
              <w:top w:val="nil"/>
              <w:left w:val="nil"/>
            </w:tcBorders>
          </w:tcPr>
          <w:p w14:paraId="11D7026E" w14:textId="77777777" w:rsidR="00120C93" w:rsidRPr="005D5928" w:rsidRDefault="00120C93" w:rsidP="00945A36">
            <w:pPr>
              <w:rPr>
                <w:rFonts w:asciiTheme="majorHAnsi" w:hAnsiTheme="majorHAnsi" w:cstheme="majorHAnsi"/>
                <w:b/>
                <w:szCs w:val="24"/>
              </w:rPr>
            </w:pPr>
            <w:r w:rsidRPr="005D5928">
              <w:rPr>
                <w:rFonts w:asciiTheme="majorHAnsi" w:hAnsiTheme="majorHAnsi" w:cstheme="majorHAnsi"/>
                <w:b/>
                <w:noProof/>
                <w:szCs w:val="24"/>
                <w:lang w:eastAsia="en-CA"/>
              </w:rPr>
              <w:drawing>
                <wp:inline distT="0" distB="0" distL="0" distR="0" wp14:anchorId="25ABFA97" wp14:editId="51B94BA5">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0084EDA3" w14:textId="77777777" w:rsidR="00120C93" w:rsidRPr="005D5928" w:rsidRDefault="00120C93" w:rsidP="00945A36">
            <w:pPr>
              <w:rPr>
                <w:rFonts w:asciiTheme="majorHAnsi" w:hAnsiTheme="majorHAnsi" w:cstheme="majorHAnsi"/>
                <w:b/>
                <w:szCs w:val="24"/>
              </w:rPr>
            </w:pPr>
          </w:p>
        </w:tc>
        <w:tc>
          <w:tcPr>
            <w:tcW w:w="6593" w:type="dxa"/>
            <w:gridSpan w:val="2"/>
          </w:tcPr>
          <w:p w14:paraId="069D381F" w14:textId="77777777" w:rsidR="00120C93" w:rsidRPr="005D5928" w:rsidRDefault="00120C93" w:rsidP="00945A36">
            <w:pPr>
              <w:jc w:val="right"/>
              <w:rPr>
                <w:rFonts w:asciiTheme="majorHAnsi" w:hAnsiTheme="majorHAnsi" w:cstheme="majorHAnsi"/>
                <w:szCs w:val="24"/>
              </w:rPr>
            </w:pPr>
          </w:p>
          <w:p w14:paraId="28EBC301" w14:textId="77777777" w:rsidR="00120C93" w:rsidRPr="00574B71" w:rsidRDefault="00120C93" w:rsidP="00120C93">
            <w:pPr>
              <w:jc w:val="right"/>
              <w:rPr>
                <w:b/>
                <w:bCs/>
                <w:lang w:val="fr-CA"/>
              </w:rPr>
            </w:pPr>
            <w:r w:rsidRPr="00574B71">
              <w:rPr>
                <w:b/>
                <w:bCs/>
                <w:lang w:val="fr-CA"/>
              </w:rPr>
              <w:t>POLITIQUES DES EMPLOYÉS</w:t>
            </w:r>
          </w:p>
          <w:p w14:paraId="77A4C4D8" w14:textId="77777777" w:rsidR="00120C93" w:rsidRPr="00574B71" w:rsidRDefault="00120C93" w:rsidP="00120C93">
            <w:pPr>
              <w:jc w:val="right"/>
              <w:rPr>
                <w:b/>
                <w:bCs/>
                <w:lang w:val="fr-CA"/>
              </w:rPr>
            </w:pPr>
            <w:r w:rsidRPr="00574B71">
              <w:rPr>
                <w:lang w:val="fr-CA"/>
              </w:rPr>
              <w:t xml:space="preserve">Catégorie : </w:t>
            </w:r>
            <w:r w:rsidRPr="00574B71">
              <w:rPr>
                <w:b/>
                <w:bCs/>
                <w:lang w:val="fr-CA"/>
              </w:rPr>
              <w:t>Accessibilité</w:t>
            </w:r>
          </w:p>
          <w:p w14:paraId="0F26E1A5" w14:textId="1340683E" w:rsidR="00120C93" w:rsidRPr="005D5928" w:rsidRDefault="00120C93" w:rsidP="00945A36">
            <w:pPr>
              <w:jc w:val="right"/>
              <w:rPr>
                <w:rFonts w:asciiTheme="majorHAnsi" w:hAnsiTheme="majorHAnsi" w:cstheme="majorHAnsi"/>
                <w:b/>
                <w:szCs w:val="24"/>
              </w:rPr>
            </w:pPr>
          </w:p>
        </w:tc>
      </w:tr>
      <w:tr w:rsidR="00120C93" w:rsidRPr="005D5928" w14:paraId="7B545F32" w14:textId="77777777" w:rsidTr="00945A36">
        <w:tc>
          <w:tcPr>
            <w:tcW w:w="4430" w:type="dxa"/>
          </w:tcPr>
          <w:p w14:paraId="7CA9F202" w14:textId="77777777" w:rsidR="00120C93" w:rsidRPr="005D5928" w:rsidRDefault="00120C93" w:rsidP="00945A36">
            <w:pPr>
              <w:rPr>
                <w:rFonts w:asciiTheme="majorHAnsi" w:hAnsiTheme="majorHAnsi" w:cstheme="majorHAnsi"/>
                <w:szCs w:val="24"/>
              </w:rPr>
            </w:pPr>
          </w:p>
          <w:p w14:paraId="0D4A055E" w14:textId="77777777" w:rsidR="00120C93" w:rsidRPr="00574B71" w:rsidRDefault="00120C93" w:rsidP="00120C93">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4E5DA61B" w14:textId="6BBC8CFC" w:rsidR="00120C93" w:rsidRPr="005D5928" w:rsidRDefault="00120C93" w:rsidP="00120C93">
            <w:pPr>
              <w:rPr>
                <w:rFonts w:asciiTheme="majorHAnsi" w:hAnsiTheme="majorHAnsi" w:cstheme="majorHAnsi"/>
                <w:szCs w:val="24"/>
              </w:rPr>
            </w:pPr>
            <w:r w:rsidRPr="00574B71">
              <w:rPr>
                <w:b/>
                <w:bCs/>
                <w:lang w:val="fr-CA"/>
              </w:rPr>
              <w:t>Revue / Révisée / Approuvée :</w:t>
            </w:r>
            <w:r w:rsidRPr="00574B71">
              <w:rPr>
                <w:lang w:val="fr-CA"/>
              </w:rPr>
              <w:t xml:space="preserve"> 25 août 2016</w:t>
            </w:r>
          </w:p>
        </w:tc>
        <w:tc>
          <w:tcPr>
            <w:tcW w:w="1915" w:type="dxa"/>
          </w:tcPr>
          <w:p w14:paraId="79BA35AB" w14:textId="77777777" w:rsidR="00120C93" w:rsidRPr="005D5928" w:rsidRDefault="00120C93" w:rsidP="00945A36">
            <w:pPr>
              <w:rPr>
                <w:rFonts w:asciiTheme="majorHAnsi" w:hAnsiTheme="majorHAnsi" w:cstheme="majorHAnsi"/>
                <w:szCs w:val="24"/>
              </w:rPr>
            </w:pPr>
          </w:p>
          <w:p w14:paraId="098ACFD1" w14:textId="77777777" w:rsidR="00120C93" w:rsidRPr="00574B71" w:rsidRDefault="00120C93" w:rsidP="00120C93">
            <w:pPr>
              <w:rPr>
                <w:lang w:val="fr-CA"/>
              </w:rPr>
            </w:pPr>
            <w:r w:rsidRPr="00574B71">
              <w:rPr>
                <w:lang w:val="fr-CA"/>
              </w:rPr>
              <w:t>Numéro :</w:t>
            </w:r>
          </w:p>
          <w:p w14:paraId="2D534584" w14:textId="77777777" w:rsidR="00120C93" w:rsidRPr="00574B71" w:rsidRDefault="00120C93" w:rsidP="00120C93">
            <w:pPr>
              <w:rPr>
                <w:lang w:val="fr-CA"/>
              </w:rPr>
            </w:pPr>
            <w:r w:rsidRPr="00574B71">
              <w:rPr>
                <w:lang w:val="fr-CA"/>
              </w:rPr>
              <w:t xml:space="preserve">AL-AC-C0007 </w:t>
            </w:r>
          </w:p>
          <w:p w14:paraId="496FD355" w14:textId="6944A56A" w:rsidR="00120C93" w:rsidRPr="005D5928" w:rsidRDefault="00120C93" w:rsidP="00945A36">
            <w:pPr>
              <w:rPr>
                <w:rFonts w:asciiTheme="majorHAnsi" w:hAnsiTheme="majorHAnsi" w:cstheme="majorHAnsi"/>
                <w:b/>
                <w:szCs w:val="24"/>
              </w:rPr>
            </w:pPr>
          </w:p>
        </w:tc>
        <w:tc>
          <w:tcPr>
            <w:tcW w:w="4678" w:type="dxa"/>
            <w:shd w:val="clear" w:color="auto" w:fill="D9D9D9" w:themeFill="background1" w:themeFillShade="D9"/>
          </w:tcPr>
          <w:p w14:paraId="620B4343" w14:textId="77777777" w:rsidR="00120C93" w:rsidRPr="005D5928" w:rsidRDefault="00120C93" w:rsidP="00945A36">
            <w:pPr>
              <w:jc w:val="right"/>
              <w:rPr>
                <w:rFonts w:asciiTheme="majorHAnsi" w:hAnsiTheme="majorHAnsi" w:cstheme="majorHAnsi"/>
                <w:b/>
                <w:szCs w:val="24"/>
              </w:rPr>
            </w:pPr>
          </w:p>
          <w:p w14:paraId="21DB7641" w14:textId="1C5C2DD0" w:rsidR="00120C93" w:rsidRPr="005D5928" w:rsidRDefault="00120C93" w:rsidP="00945A36">
            <w:pPr>
              <w:jc w:val="right"/>
              <w:rPr>
                <w:rFonts w:asciiTheme="majorHAnsi" w:hAnsiTheme="majorHAnsi" w:cstheme="majorHAnsi"/>
                <w:b/>
                <w:szCs w:val="24"/>
              </w:rPr>
            </w:pPr>
            <w:r w:rsidRPr="00574B71">
              <w:rPr>
                <w:b/>
                <w:bCs/>
                <w:lang w:val="fr-CA"/>
              </w:rPr>
              <w:t>ACCESSIBILITÉ DES SERVICES À LA CLIENTÈLE – RÉTROACTION</w:t>
            </w:r>
            <w:r w:rsidRPr="005D5928">
              <w:rPr>
                <w:rFonts w:asciiTheme="majorHAnsi" w:hAnsiTheme="majorHAnsi" w:cstheme="majorHAnsi"/>
                <w:b/>
                <w:szCs w:val="24"/>
              </w:rPr>
              <w:t xml:space="preserve"> </w:t>
            </w:r>
          </w:p>
        </w:tc>
      </w:tr>
    </w:tbl>
    <w:p w14:paraId="6DA1DAC3" w14:textId="0BDE50A0" w:rsidR="00950D07" w:rsidRPr="00574B71" w:rsidRDefault="00950D07" w:rsidP="00950D07">
      <w:pPr>
        <w:spacing w:after="0"/>
        <w:rPr>
          <w:lang w:val="fr-CA"/>
        </w:rPr>
      </w:pPr>
    </w:p>
    <w:p w14:paraId="75526C9D" w14:textId="77777777" w:rsidR="00950D07" w:rsidRPr="00120C93" w:rsidRDefault="00950D07" w:rsidP="00120C93">
      <w:pPr>
        <w:shd w:val="clear" w:color="auto" w:fill="D9D9D9" w:themeFill="background1" w:themeFillShade="D9"/>
        <w:jc w:val="center"/>
        <w:rPr>
          <w:rFonts w:cs="Arial"/>
          <w:b/>
          <w:szCs w:val="24"/>
        </w:rPr>
      </w:pPr>
      <w:r w:rsidRPr="00120C93">
        <w:rPr>
          <w:rFonts w:cs="Arial"/>
          <w:b/>
          <w:szCs w:val="24"/>
        </w:rPr>
        <w:t>POLITIQUE</w:t>
      </w:r>
    </w:p>
    <w:p w14:paraId="761DB3F3" w14:textId="77777777" w:rsidR="00950D07" w:rsidRPr="00574B71" w:rsidRDefault="00950D07" w:rsidP="00950D07">
      <w:pPr>
        <w:spacing w:after="0"/>
        <w:rPr>
          <w:lang w:val="fr-CA"/>
        </w:rPr>
      </w:pPr>
      <w:r w:rsidRPr="00574B71">
        <w:rPr>
          <w:rFonts w:cs="Arial"/>
          <w:szCs w:val="24"/>
          <w:lang w:val="fr-CA"/>
        </w:rPr>
        <w:t xml:space="preserve">L’Association canadienne pour la santé mentale (ACSM) a établi un processus pour recevoir les observations sur la manière dont l’organisme livre ses biens et ses services aux personnes handicapées et y répondre, </w:t>
      </w:r>
      <w:r>
        <w:rPr>
          <w:rFonts w:cs="Arial"/>
          <w:szCs w:val="24"/>
          <w:lang w:val="fr-CA"/>
        </w:rPr>
        <w:t>ainsi que</w:t>
      </w:r>
      <w:r w:rsidRPr="00574B71">
        <w:rPr>
          <w:rFonts w:cs="Arial"/>
          <w:szCs w:val="24"/>
          <w:lang w:val="fr-CA"/>
        </w:rPr>
        <w:t xml:space="preserve"> les mesures à prendre si une plainte est reçue.</w:t>
      </w:r>
    </w:p>
    <w:p w14:paraId="6C8D6749" w14:textId="77777777" w:rsidR="00950D07" w:rsidRPr="00574B71" w:rsidRDefault="00950D07" w:rsidP="00950D07">
      <w:pPr>
        <w:spacing w:after="0"/>
        <w:rPr>
          <w:lang w:val="fr-CA"/>
        </w:rPr>
      </w:pPr>
    </w:p>
    <w:p w14:paraId="07C05F06" w14:textId="77777777" w:rsidR="00950D07" w:rsidRPr="00574B71" w:rsidRDefault="00950D07" w:rsidP="00950D07">
      <w:pPr>
        <w:spacing w:after="0"/>
        <w:rPr>
          <w:lang w:val="fr-CA"/>
        </w:rPr>
      </w:pPr>
      <w:r w:rsidRPr="00574B71">
        <w:rPr>
          <w:lang w:val="fr-CA"/>
        </w:rPr>
        <w:t xml:space="preserve">L’ACSM se fonde sur les exigences stipulées dans le </w:t>
      </w:r>
      <w:r w:rsidRPr="00574B71">
        <w:rPr>
          <w:rFonts w:cs="Arial"/>
          <w:i/>
          <w:szCs w:val="24"/>
          <w:lang w:val="fr-CA"/>
        </w:rPr>
        <w:t xml:space="preserve">Règlement de l’Ontario 429/07 : Normes d’accessibilité pour les services à la clientèle </w:t>
      </w:r>
      <w:r w:rsidRPr="00574B71">
        <w:rPr>
          <w:rFonts w:cs="Arial"/>
          <w:szCs w:val="24"/>
          <w:lang w:val="fr-CA"/>
        </w:rPr>
        <w:t>en vue d’améliorer les occasions offertes aux particuliers pour fournir des observations</w:t>
      </w:r>
      <w:r w:rsidRPr="00574B71">
        <w:rPr>
          <w:lang w:val="fr-CA"/>
        </w:rPr>
        <w:t xml:space="preserve"> et des suggestions sur la manière d’améliorer le service à la clientèle pour tout un chacun.</w:t>
      </w:r>
    </w:p>
    <w:p w14:paraId="7A0A1443" w14:textId="77777777" w:rsidR="00950D07" w:rsidRPr="00574B71" w:rsidRDefault="00950D07" w:rsidP="00950D07">
      <w:pPr>
        <w:spacing w:after="0"/>
        <w:rPr>
          <w:lang w:val="fr-CA"/>
        </w:rPr>
      </w:pPr>
    </w:p>
    <w:p w14:paraId="6FB8392F" w14:textId="77777777" w:rsidR="00950D07" w:rsidRPr="00120C93" w:rsidRDefault="00950D07" w:rsidP="00120C93">
      <w:pPr>
        <w:shd w:val="clear" w:color="auto" w:fill="D9D9D9" w:themeFill="background1" w:themeFillShade="D9"/>
        <w:jc w:val="center"/>
        <w:rPr>
          <w:rFonts w:cs="Arial"/>
          <w:b/>
          <w:szCs w:val="24"/>
        </w:rPr>
      </w:pPr>
      <w:r w:rsidRPr="00120C93">
        <w:rPr>
          <w:rFonts w:cs="Arial"/>
          <w:b/>
          <w:szCs w:val="24"/>
        </w:rPr>
        <w:t>PROCÉDURE</w:t>
      </w:r>
    </w:p>
    <w:p w14:paraId="0976C12E" w14:textId="77777777" w:rsidR="00950D07" w:rsidRPr="00574B71" w:rsidRDefault="00950D07" w:rsidP="00950D07">
      <w:pPr>
        <w:spacing w:after="0"/>
        <w:rPr>
          <w:lang w:val="fr-CA"/>
        </w:rPr>
      </w:pPr>
      <w:r w:rsidRPr="00574B71">
        <w:rPr>
          <w:lang w:val="fr-CA"/>
        </w:rPr>
        <w:t xml:space="preserve">La rétroaction </w:t>
      </w:r>
      <w:r>
        <w:rPr>
          <w:lang w:val="fr-CA"/>
        </w:rPr>
        <w:t>peut être</w:t>
      </w:r>
      <w:r w:rsidRPr="00574B71">
        <w:rPr>
          <w:lang w:val="fr-CA"/>
        </w:rPr>
        <w:t xml:space="preserve"> un excellent moyen d’évaluer dans quelle mesure nous répondons aux besoins des particuliers et de cerner les domaines qui requièrent une amélioration ou des changements. Si une question ou un problème se présente, la rétroaction peut également être un moyen pour l’ACSM de bâtir des relations positives dans le cadre d’une expérience qui aurait pu s’avérer négative. Des renseignements sur le processus de rétroaction sont à la disposition du public.</w:t>
      </w:r>
    </w:p>
    <w:p w14:paraId="2BDDB3FD" w14:textId="77777777" w:rsidR="00950D07" w:rsidRPr="00574B71" w:rsidRDefault="00950D07" w:rsidP="00950D07">
      <w:pPr>
        <w:spacing w:after="0"/>
        <w:rPr>
          <w:lang w:val="fr-CA"/>
        </w:rPr>
      </w:pPr>
      <w:r w:rsidRPr="00574B71">
        <w:rPr>
          <w:lang w:val="fr-CA"/>
        </w:rPr>
        <w:t xml:space="preserve"> </w:t>
      </w:r>
    </w:p>
    <w:p w14:paraId="734EC62D" w14:textId="77777777" w:rsidR="00950D07" w:rsidRPr="00574B71" w:rsidRDefault="00950D07" w:rsidP="00950D07">
      <w:pPr>
        <w:spacing w:after="0"/>
        <w:rPr>
          <w:lang w:val="fr-CA"/>
        </w:rPr>
      </w:pPr>
      <w:r w:rsidRPr="00574B71">
        <w:rPr>
          <w:lang w:val="fr-CA"/>
        </w:rPr>
        <w:t>L’ACSM vise l’excellence dans les services qu’elle procure à toutes les personnes, y compris les personnes handicapées. À cet effet, elle assumera toutes ses fonctions et ses responsabilités dans les domaines suivants :</w:t>
      </w:r>
    </w:p>
    <w:p w14:paraId="3015A150" w14:textId="77777777" w:rsidR="00950D07" w:rsidRPr="00574B71" w:rsidRDefault="00950D07" w:rsidP="00950D07">
      <w:pPr>
        <w:spacing w:after="0"/>
        <w:rPr>
          <w:sz w:val="14"/>
          <w:szCs w:val="12"/>
          <w:lang w:val="fr-CA"/>
        </w:rPr>
      </w:pPr>
    </w:p>
    <w:p w14:paraId="48DA425E" w14:textId="77777777" w:rsidR="00950D07" w:rsidRPr="00574B71" w:rsidRDefault="00950D07" w:rsidP="00950D07">
      <w:pPr>
        <w:spacing w:after="0"/>
        <w:rPr>
          <w:lang w:val="fr-CA"/>
        </w:rPr>
      </w:pPr>
      <w:r w:rsidRPr="00574B71">
        <w:rPr>
          <w:b/>
          <w:bCs/>
          <w:lang w:val="fr-CA"/>
        </w:rPr>
        <w:t>Rétroaction :</w:t>
      </w:r>
      <w:r w:rsidRPr="00574B71">
        <w:rPr>
          <w:lang w:val="fr-CA"/>
        </w:rPr>
        <w:t xml:space="preserve"> </w:t>
      </w:r>
    </w:p>
    <w:p w14:paraId="7830F4D9" w14:textId="77777777" w:rsidR="00950D07" w:rsidRPr="00574B71" w:rsidRDefault="00950D07" w:rsidP="00950D07">
      <w:pPr>
        <w:spacing w:after="0"/>
        <w:rPr>
          <w:sz w:val="14"/>
          <w:szCs w:val="12"/>
          <w:lang w:val="fr-CA"/>
        </w:rPr>
      </w:pPr>
    </w:p>
    <w:p w14:paraId="092E2DD5" w14:textId="77777777" w:rsidR="00950D07" w:rsidRPr="00574B71" w:rsidRDefault="00950D07" w:rsidP="00950D07">
      <w:pPr>
        <w:pStyle w:val="ListParagraph"/>
        <w:numPr>
          <w:ilvl w:val="0"/>
          <w:numId w:val="7"/>
        </w:numPr>
        <w:spacing w:after="0"/>
        <w:rPr>
          <w:lang w:val="fr-CA"/>
        </w:rPr>
      </w:pPr>
      <w:r w:rsidRPr="00574B71">
        <w:rPr>
          <w:lang w:val="fr-CA"/>
        </w:rPr>
        <w:t xml:space="preserve">L’ACSM a pour engagement de </w:t>
      </w:r>
      <w:r w:rsidRPr="00574B71">
        <w:rPr>
          <w:rFonts w:cs="Arial"/>
          <w:szCs w:val="24"/>
          <w:lang w:val="fr-CA"/>
        </w:rPr>
        <w:t xml:space="preserve">procurer un service à la clientèle de grande qualité et désire continuer à améliorer et </w:t>
      </w:r>
      <w:r>
        <w:rPr>
          <w:rFonts w:cs="Arial"/>
          <w:szCs w:val="24"/>
          <w:lang w:val="fr-CA"/>
        </w:rPr>
        <w:t>à accroître l’accessibilité de son</w:t>
      </w:r>
      <w:r w:rsidRPr="00574B71">
        <w:rPr>
          <w:rFonts w:cs="Arial"/>
          <w:szCs w:val="24"/>
          <w:lang w:val="fr-CA"/>
        </w:rPr>
        <w:t xml:space="preserve"> service à la clientèle pour tous les particuliers, tous les demandeurs de logement, tous les visiteurs, tous les membres de la communauté qui utilisent nos installations et tous les autres membres du public aux prises avec un handicap.</w:t>
      </w:r>
      <w:r w:rsidRPr="00574B71">
        <w:rPr>
          <w:lang w:val="fr-CA"/>
        </w:rPr>
        <w:t xml:space="preserve">  </w:t>
      </w:r>
    </w:p>
    <w:p w14:paraId="4BA107BD" w14:textId="77777777" w:rsidR="00950D07" w:rsidRPr="00574B71" w:rsidRDefault="00950D07" w:rsidP="00950D07">
      <w:pPr>
        <w:pStyle w:val="ListParagraph"/>
        <w:numPr>
          <w:ilvl w:val="0"/>
          <w:numId w:val="7"/>
        </w:numPr>
        <w:spacing w:after="0"/>
        <w:rPr>
          <w:lang w:val="fr-CA"/>
        </w:rPr>
      </w:pPr>
      <w:r w:rsidRPr="00574B71">
        <w:rPr>
          <w:lang w:val="fr-CA"/>
        </w:rPr>
        <w:t xml:space="preserve">L’ACSM a créé un processus pour recevoir la rétroaction sur la prestation des biens et des services aux locataires et aux clients handicapés obtenant ses services. Ce processus permet aux particuliers de fournir une rétroaction en personne, par téléphone, par écrit, par courriel, en ligne, sur disque ou par un autre moyen de communication. </w:t>
      </w:r>
    </w:p>
    <w:p w14:paraId="7BB2C2CF" w14:textId="77777777" w:rsidR="00950D07" w:rsidRPr="00574B71" w:rsidRDefault="00950D07" w:rsidP="00950D07">
      <w:pPr>
        <w:pStyle w:val="ListParagraph"/>
        <w:numPr>
          <w:ilvl w:val="0"/>
          <w:numId w:val="7"/>
        </w:numPr>
        <w:spacing w:after="0"/>
        <w:rPr>
          <w:lang w:val="fr-CA"/>
        </w:rPr>
      </w:pPr>
      <w:r w:rsidRPr="00574B71">
        <w:rPr>
          <w:lang w:val="fr-CA"/>
        </w:rPr>
        <w:t xml:space="preserve">Un formulaire de rétroaction peut être rempli dans notre site Web. Il peut y être téléchargé dans des formats accessibles. L’on peut aussi s’en procurer une copie en personne dans notre bureau. Le formulaire de rétroaction est disponible dans d’autres formats, sur demande. </w:t>
      </w:r>
    </w:p>
    <w:p w14:paraId="13E887A6" w14:textId="77777777" w:rsidR="00950D07" w:rsidRPr="00574B71" w:rsidRDefault="00950D07" w:rsidP="00950D07">
      <w:pPr>
        <w:pStyle w:val="ListParagraph"/>
        <w:numPr>
          <w:ilvl w:val="0"/>
          <w:numId w:val="7"/>
        </w:numPr>
        <w:spacing w:after="0"/>
        <w:rPr>
          <w:lang w:val="fr-CA"/>
        </w:rPr>
      </w:pPr>
      <w:r w:rsidRPr="00574B71">
        <w:rPr>
          <w:lang w:val="fr-CA"/>
        </w:rPr>
        <w:t xml:space="preserve">L’ACSM n’est pas obligée de répondre à la rétroaction qu’elle reçoit. Si une personne qui soumet des observations demande une réponse et fournit ses coordonnées, l’ACSM communiquera avec cette personne dans le format dans lequel la rétroaction a été soumise, et ce, dans les dix (10) jours ouvrables. La rétroaction demeurera strictement confidentielle et servira à améliorer le </w:t>
      </w:r>
      <w:r w:rsidRPr="00574B71">
        <w:rPr>
          <w:lang w:val="fr-CA"/>
        </w:rPr>
        <w:lastRenderedPageBreak/>
        <w:t xml:space="preserve">service à la clientèle. Voir la politique relative aux plaintes pour connaître le processus et obtenir des détails. </w:t>
      </w:r>
    </w:p>
    <w:p w14:paraId="5AA895F0" w14:textId="77777777" w:rsidR="00950D07" w:rsidRPr="00574B71" w:rsidRDefault="00950D07" w:rsidP="00950D07">
      <w:pPr>
        <w:jc w:val="center"/>
        <w:rPr>
          <w:b/>
          <w:bCs/>
          <w:sz w:val="14"/>
          <w:szCs w:val="12"/>
          <w:u w:val="single"/>
          <w:lang w:val="fr-CA"/>
        </w:rPr>
      </w:pPr>
    </w:p>
    <w:p w14:paraId="108CFF97" w14:textId="77777777" w:rsidR="00950D07" w:rsidRPr="00120C93" w:rsidRDefault="00950D07" w:rsidP="00120C93">
      <w:pPr>
        <w:shd w:val="clear" w:color="auto" w:fill="D9D9D9" w:themeFill="background1" w:themeFillShade="D9"/>
        <w:jc w:val="center"/>
        <w:rPr>
          <w:rFonts w:cs="Arial"/>
          <w:b/>
          <w:szCs w:val="24"/>
        </w:rPr>
      </w:pPr>
      <w:r w:rsidRPr="00120C93">
        <w:rPr>
          <w:rFonts w:cs="Arial"/>
          <w:b/>
          <w:szCs w:val="24"/>
        </w:rPr>
        <w:t>DOCUMENTS DE RÉFÉRENCE</w:t>
      </w:r>
    </w:p>
    <w:p w14:paraId="22A637DC" w14:textId="3B9E04C8" w:rsidR="008A0B0B" w:rsidRPr="00950D07" w:rsidRDefault="00950D07" w:rsidP="00950D07">
      <w:pPr>
        <w:rPr>
          <w:lang w:val="fr-CA"/>
        </w:rPr>
      </w:pPr>
      <w:r w:rsidRPr="00574B71">
        <w:rPr>
          <w:lang w:val="fr-CA"/>
        </w:rPr>
        <w:t xml:space="preserve"> RESPONSABLE : Directeur général / Directrice générale</w:t>
      </w:r>
    </w:p>
    <w:sectPr w:rsidR="008A0B0B" w:rsidRPr="00950D07" w:rsidSect="00120C93">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93F7" w14:textId="77777777" w:rsidR="00120C93" w:rsidRDefault="00120C93" w:rsidP="00120C93">
      <w:pPr>
        <w:spacing w:after="0" w:line="240" w:lineRule="auto"/>
      </w:pPr>
      <w:r>
        <w:separator/>
      </w:r>
    </w:p>
  </w:endnote>
  <w:endnote w:type="continuationSeparator" w:id="0">
    <w:p w14:paraId="43843B8A" w14:textId="77777777" w:rsidR="00120C93" w:rsidRDefault="00120C93" w:rsidP="0012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20C93" w:rsidRPr="000A2186" w14:paraId="1976D3D5" w14:textId="77777777" w:rsidTr="00945A36">
      <w:tc>
        <w:tcPr>
          <w:tcW w:w="918" w:type="dxa"/>
          <w:tcBorders>
            <w:top w:val="single" w:sz="4" w:space="0" w:color="auto"/>
            <w:right w:val="single" w:sz="4" w:space="0" w:color="auto"/>
          </w:tcBorders>
        </w:tcPr>
        <w:p w14:paraId="5294BA8D" w14:textId="77777777" w:rsidR="00120C93" w:rsidRPr="000A2186" w:rsidRDefault="00120C93" w:rsidP="00120C93">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3058B0">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2EC5A737" w14:textId="77777777" w:rsidR="00120C93" w:rsidRPr="00CD1F31" w:rsidRDefault="00120C93" w:rsidP="00120C93">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Feedback</w:t>
          </w:r>
          <w:r w:rsidRPr="00130FDD">
            <w:rPr>
              <w:rFonts w:cs="Arial"/>
              <w:color w:val="00B1B0"/>
              <w:sz w:val="12"/>
              <w:szCs w:val="12"/>
            </w:rPr>
            <w:t xml:space="preserve"> </w:t>
          </w:r>
        </w:p>
        <w:p w14:paraId="6FACA359" w14:textId="77777777" w:rsidR="00120C93" w:rsidRPr="000A2186" w:rsidRDefault="00120C93" w:rsidP="00120C93">
          <w:pPr>
            <w:pStyle w:val="Footer"/>
            <w:spacing w:before="60"/>
            <w:jc w:val="right"/>
            <w:rPr>
              <w:rFonts w:cs="Arial"/>
              <w:color w:val="00B1B0"/>
              <w:sz w:val="14"/>
              <w:szCs w:val="14"/>
            </w:rPr>
          </w:pPr>
        </w:p>
        <w:p w14:paraId="4D037A47" w14:textId="77777777" w:rsidR="00120C93" w:rsidRPr="000A2186" w:rsidRDefault="00120C93" w:rsidP="00120C93">
          <w:pPr>
            <w:pStyle w:val="Footer"/>
            <w:spacing w:before="60"/>
            <w:rPr>
              <w:rFonts w:cs="Arial"/>
              <w:color w:val="00B1B0"/>
              <w:sz w:val="14"/>
              <w:szCs w:val="14"/>
            </w:rPr>
          </w:pPr>
        </w:p>
      </w:tc>
    </w:tr>
  </w:tbl>
  <w:p w14:paraId="54E50C2E" w14:textId="77777777" w:rsidR="00120C93" w:rsidRPr="00120C93" w:rsidRDefault="00120C9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0C9F" w14:textId="77777777" w:rsidR="00120C93" w:rsidRDefault="00120C93" w:rsidP="00120C93">
      <w:pPr>
        <w:spacing w:after="0" w:line="240" w:lineRule="auto"/>
      </w:pPr>
      <w:r>
        <w:separator/>
      </w:r>
    </w:p>
  </w:footnote>
  <w:footnote w:type="continuationSeparator" w:id="0">
    <w:p w14:paraId="7FF7FBA9" w14:textId="77777777" w:rsidR="00120C93" w:rsidRDefault="00120C93" w:rsidP="00120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7270064"/>
    <w:multiLevelType w:val="hybridMultilevel"/>
    <w:tmpl w:val="54001F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7955AD2"/>
    <w:multiLevelType w:val="hybridMultilevel"/>
    <w:tmpl w:val="2E1C42BE"/>
    <w:lvl w:ilvl="0" w:tplc="EE32A5FE">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AFB43A5"/>
    <w:multiLevelType w:val="hybridMultilevel"/>
    <w:tmpl w:val="D0305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294FE7"/>
    <w:multiLevelType w:val="hybridMultilevel"/>
    <w:tmpl w:val="FD228E3C"/>
    <w:lvl w:ilvl="0" w:tplc="1009000F">
      <w:start w:val="1"/>
      <w:numFmt w:val="decimal"/>
      <w:lvlText w:val="%1."/>
      <w:lvlJc w:val="left"/>
      <w:pPr>
        <w:ind w:left="360" w:hanging="360"/>
      </w:pPr>
      <w:rPr>
        <w:rFonts w:hint="default"/>
      </w:rPr>
    </w:lvl>
    <w:lvl w:ilvl="1" w:tplc="DEF4EDF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9975BD6"/>
    <w:multiLevelType w:val="hybridMultilevel"/>
    <w:tmpl w:val="65F49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AAD06EA"/>
    <w:multiLevelType w:val="hybridMultilevel"/>
    <w:tmpl w:val="D9A4ED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5C"/>
    <w:rsid w:val="00120C93"/>
    <w:rsid w:val="001B5A83"/>
    <w:rsid w:val="0036105C"/>
    <w:rsid w:val="00877F95"/>
    <w:rsid w:val="008A0B0B"/>
    <w:rsid w:val="00950D07"/>
    <w:rsid w:val="00A54FB5"/>
    <w:rsid w:val="00DA0D6B"/>
    <w:rsid w:val="00E24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70C"/>
  <w15:chartTrackingRefBased/>
  <w15:docId w15:val="{D3218BE8-59F8-4075-AE3B-3D2EC4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5C"/>
    <w:pPr>
      <w:ind w:left="720"/>
      <w:contextualSpacing/>
    </w:pPr>
  </w:style>
  <w:style w:type="paragraph" w:styleId="Header">
    <w:name w:val="header"/>
    <w:basedOn w:val="Normal"/>
    <w:link w:val="HeaderChar"/>
    <w:uiPriority w:val="99"/>
    <w:unhideWhenUsed/>
    <w:rsid w:val="0012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93"/>
    <w:rPr>
      <w:rFonts w:ascii="Arial" w:hAnsi="Arial"/>
      <w:sz w:val="24"/>
    </w:rPr>
  </w:style>
  <w:style w:type="paragraph" w:styleId="Footer">
    <w:name w:val="footer"/>
    <w:basedOn w:val="Normal"/>
    <w:link w:val="FooterChar"/>
    <w:uiPriority w:val="99"/>
    <w:unhideWhenUsed/>
    <w:rsid w:val="0012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2021-09-16T18:29:00Z</dcterms:created>
  <dcterms:modified xsi:type="dcterms:W3CDTF">2021-09-16T18:29:00Z</dcterms:modified>
</cp:coreProperties>
</file>