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B41000" w:rsidRPr="001E65E6" w14:paraId="4C5F52B1" w14:textId="77777777" w:rsidTr="006E054C">
        <w:tc>
          <w:tcPr>
            <w:tcW w:w="4430" w:type="dxa"/>
            <w:tcBorders>
              <w:top w:val="nil"/>
              <w:left w:val="nil"/>
            </w:tcBorders>
          </w:tcPr>
          <w:p w14:paraId="4AF048D8" w14:textId="77777777" w:rsidR="00B41000" w:rsidRPr="001E65E6" w:rsidRDefault="00B41000" w:rsidP="006E054C">
            <w:pPr>
              <w:rPr>
                <w:rFonts w:asciiTheme="majorHAnsi" w:hAnsiTheme="majorHAnsi" w:cstheme="majorHAnsi"/>
                <w:b/>
                <w:szCs w:val="24"/>
              </w:rPr>
            </w:pPr>
            <w:r w:rsidRPr="001E65E6">
              <w:rPr>
                <w:rFonts w:asciiTheme="majorHAnsi" w:hAnsiTheme="majorHAnsi" w:cstheme="majorHAnsi"/>
                <w:b/>
                <w:noProof/>
                <w:szCs w:val="24"/>
                <w:lang w:eastAsia="en-CA"/>
              </w:rPr>
              <w:drawing>
                <wp:inline distT="0" distB="0" distL="0" distR="0" wp14:anchorId="1BAF2ED3" wp14:editId="2AA402A9">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7F275D62" w14:textId="77777777" w:rsidR="00B41000" w:rsidRPr="001E65E6" w:rsidRDefault="00B41000" w:rsidP="006E054C">
            <w:pPr>
              <w:rPr>
                <w:rFonts w:asciiTheme="majorHAnsi" w:hAnsiTheme="majorHAnsi" w:cstheme="majorHAnsi"/>
                <w:b/>
                <w:szCs w:val="24"/>
              </w:rPr>
            </w:pPr>
          </w:p>
        </w:tc>
        <w:tc>
          <w:tcPr>
            <w:tcW w:w="6593" w:type="dxa"/>
            <w:gridSpan w:val="2"/>
          </w:tcPr>
          <w:p w14:paraId="24366D6B" w14:textId="77777777" w:rsidR="00B41000" w:rsidRPr="001E65E6" w:rsidRDefault="00B41000" w:rsidP="006E054C">
            <w:pPr>
              <w:jc w:val="right"/>
              <w:rPr>
                <w:rFonts w:asciiTheme="majorHAnsi" w:hAnsiTheme="majorHAnsi" w:cstheme="majorHAnsi"/>
                <w:szCs w:val="24"/>
              </w:rPr>
            </w:pPr>
          </w:p>
          <w:p w14:paraId="3846CEB4" w14:textId="77777777" w:rsidR="00B41000" w:rsidRPr="00574B71" w:rsidRDefault="00B41000" w:rsidP="00B41000">
            <w:pPr>
              <w:jc w:val="right"/>
              <w:rPr>
                <w:b/>
                <w:bCs/>
                <w:lang w:val="fr-CA"/>
              </w:rPr>
            </w:pPr>
            <w:r w:rsidRPr="00574B71">
              <w:rPr>
                <w:b/>
                <w:bCs/>
                <w:lang w:val="fr-CA"/>
              </w:rPr>
              <w:t>POLITIQUES DES EMPLOYÉS</w:t>
            </w:r>
          </w:p>
          <w:p w14:paraId="0F74A363" w14:textId="77777777" w:rsidR="00B41000" w:rsidRPr="00574B71" w:rsidRDefault="00B41000" w:rsidP="00B41000">
            <w:pPr>
              <w:jc w:val="right"/>
              <w:rPr>
                <w:lang w:val="fr-CA"/>
              </w:rPr>
            </w:pPr>
            <w:r w:rsidRPr="00574B71">
              <w:rPr>
                <w:lang w:val="fr-CA"/>
              </w:rPr>
              <w:t xml:space="preserve">Catégorie : </w:t>
            </w:r>
            <w:r w:rsidRPr="00574B71">
              <w:rPr>
                <w:b/>
                <w:bCs/>
                <w:lang w:val="fr-CA"/>
              </w:rPr>
              <w:t xml:space="preserve">Accessibilité </w:t>
            </w:r>
          </w:p>
          <w:p w14:paraId="29AF7D1C" w14:textId="202B4D72" w:rsidR="00B41000" w:rsidRPr="001E65E6" w:rsidRDefault="00B41000" w:rsidP="006E054C">
            <w:pPr>
              <w:jc w:val="right"/>
              <w:rPr>
                <w:rFonts w:asciiTheme="majorHAnsi" w:hAnsiTheme="majorHAnsi" w:cstheme="majorHAnsi"/>
                <w:b/>
                <w:szCs w:val="24"/>
              </w:rPr>
            </w:pPr>
          </w:p>
        </w:tc>
      </w:tr>
      <w:tr w:rsidR="00B41000" w:rsidRPr="001E65E6" w14:paraId="1A77698D" w14:textId="77777777" w:rsidTr="006E054C">
        <w:tc>
          <w:tcPr>
            <w:tcW w:w="4430" w:type="dxa"/>
          </w:tcPr>
          <w:p w14:paraId="7FF440FD" w14:textId="77777777" w:rsidR="00B41000" w:rsidRPr="001E65E6" w:rsidRDefault="00B41000" w:rsidP="006E054C">
            <w:pPr>
              <w:rPr>
                <w:rFonts w:asciiTheme="majorHAnsi" w:hAnsiTheme="majorHAnsi" w:cstheme="majorHAnsi"/>
                <w:szCs w:val="24"/>
              </w:rPr>
            </w:pPr>
          </w:p>
          <w:p w14:paraId="19B4FBC7" w14:textId="77777777" w:rsidR="00B41000" w:rsidRPr="00574B71" w:rsidRDefault="00B41000" w:rsidP="00B41000">
            <w:pPr>
              <w:rPr>
                <w:lang w:val="fr-CA"/>
              </w:rPr>
            </w:pPr>
            <w:r w:rsidRPr="00574B71">
              <w:rPr>
                <w:b/>
                <w:bCs/>
                <w:lang w:val="fr-CA"/>
              </w:rPr>
              <w:t>Mise en œuvre :</w:t>
            </w:r>
            <w:r w:rsidRPr="00574B71">
              <w:rPr>
                <w:lang w:val="fr-CA"/>
              </w:rPr>
              <w:t xml:space="preserve"> 1</w:t>
            </w:r>
            <w:r w:rsidRPr="00574B71">
              <w:rPr>
                <w:vertAlign w:val="superscript"/>
                <w:lang w:val="fr-CA"/>
              </w:rPr>
              <w:t>er</w:t>
            </w:r>
            <w:r w:rsidRPr="00574B71">
              <w:rPr>
                <w:lang w:val="fr-CA"/>
              </w:rPr>
              <w:t xml:space="preserve"> septembre 2013 </w:t>
            </w:r>
          </w:p>
          <w:p w14:paraId="16665FDF" w14:textId="4F2BC5ED" w:rsidR="00B41000" w:rsidRPr="001E65E6" w:rsidRDefault="00B41000" w:rsidP="00B41000">
            <w:pPr>
              <w:rPr>
                <w:rFonts w:asciiTheme="majorHAnsi" w:hAnsiTheme="majorHAnsi" w:cstheme="majorHAnsi"/>
                <w:szCs w:val="24"/>
              </w:rPr>
            </w:pPr>
            <w:r w:rsidRPr="00574B71">
              <w:rPr>
                <w:b/>
                <w:bCs/>
                <w:lang w:val="fr-CA"/>
              </w:rPr>
              <w:t>Revue / Révisée / Approuvée :</w:t>
            </w:r>
            <w:r w:rsidRPr="00574B71">
              <w:rPr>
                <w:lang w:val="fr-CA"/>
              </w:rPr>
              <w:t xml:space="preserve"> 11 janvier 2017</w:t>
            </w:r>
          </w:p>
        </w:tc>
        <w:tc>
          <w:tcPr>
            <w:tcW w:w="1915" w:type="dxa"/>
          </w:tcPr>
          <w:p w14:paraId="70789C04" w14:textId="77777777" w:rsidR="00B41000" w:rsidRPr="001E65E6" w:rsidRDefault="00B41000" w:rsidP="006E054C">
            <w:pPr>
              <w:rPr>
                <w:rFonts w:asciiTheme="majorHAnsi" w:hAnsiTheme="majorHAnsi" w:cstheme="majorHAnsi"/>
                <w:szCs w:val="24"/>
              </w:rPr>
            </w:pPr>
          </w:p>
          <w:p w14:paraId="2367F64D" w14:textId="77777777" w:rsidR="00B41000" w:rsidRPr="00574B71" w:rsidRDefault="00B41000" w:rsidP="00B41000">
            <w:pPr>
              <w:rPr>
                <w:lang w:val="fr-CA"/>
              </w:rPr>
            </w:pPr>
            <w:r w:rsidRPr="00574B71">
              <w:rPr>
                <w:lang w:val="fr-CA"/>
              </w:rPr>
              <w:t>Numéro :</w:t>
            </w:r>
          </w:p>
          <w:p w14:paraId="6660B166" w14:textId="77777777" w:rsidR="00B41000" w:rsidRPr="00574B71" w:rsidRDefault="00B41000" w:rsidP="00B41000">
            <w:pPr>
              <w:rPr>
                <w:lang w:val="fr-CA"/>
              </w:rPr>
            </w:pPr>
            <w:r w:rsidRPr="00574B71">
              <w:rPr>
                <w:lang w:val="fr-CA"/>
              </w:rPr>
              <w:t xml:space="preserve">AL-AC-C0006 </w:t>
            </w:r>
          </w:p>
          <w:p w14:paraId="2EF36F14" w14:textId="5074943E" w:rsidR="00B41000" w:rsidRPr="001E65E6" w:rsidRDefault="00B41000" w:rsidP="006E054C">
            <w:pPr>
              <w:rPr>
                <w:rFonts w:asciiTheme="majorHAnsi" w:hAnsiTheme="majorHAnsi" w:cstheme="majorHAnsi"/>
                <w:b/>
                <w:szCs w:val="24"/>
              </w:rPr>
            </w:pPr>
          </w:p>
        </w:tc>
        <w:tc>
          <w:tcPr>
            <w:tcW w:w="4678" w:type="dxa"/>
            <w:shd w:val="clear" w:color="auto" w:fill="D9D9D9" w:themeFill="background1" w:themeFillShade="D9"/>
          </w:tcPr>
          <w:p w14:paraId="4BF90C1C" w14:textId="77777777" w:rsidR="00B41000" w:rsidRPr="001E65E6" w:rsidRDefault="00B41000" w:rsidP="006E054C">
            <w:pPr>
              <w:jc w:val="right"/>
              <w:rPr>
                <w:rFonts w:asciiTheme="majorHAnsi" w:hAnsiTheme="majorHAnsi" w:cstheme="majorHAnsi"/>
                <w:b/>
                <w:szCs w:val="24"/>
              </w:rPr>
            </w:pPr>
          </w:p>
          <w:p w14:paraId="71BA7DC2" w14:textId="060B31F1" w:rsidR="00B41000" w:rsidRPr="001E65E6" w:rsidRDefault="00B41000" w:rsidP="006E054C">
            <w:pPr>
              <w:jc w:val="right"/>
              <w:rPr>
                <w:rFonts w:asciiTheme="majorHAnsi" w:hAnsiTheme="majorHAnsi" w:cstheme="majorHAnsi"/>
                <w:b/>
                <w:szCs w:val="24"/>
              </w:rPr>
            </w:pPr>
            <w:r w:rsidRPr="00574B71">
              <w:rPr>
                <w:b/>
                <w:bCs/>
                <w:lang w:val="fr-CA"/>
              </w:rPr>
              <w:t>ACCESSIBILITÉ DES SERVICES À LA CLIENTÈLE – AVIS DE PERTURBATION DE SERVICE</w:t>
            </w:r>
            <w:r w:rsidRPr="001E65E6">
              <w:rPr>
                <w:rFonts w:asciiTheme="majorHAnsi" w:hAnsiTheme="majorHAnsi" w:cstheme="majorHAnsi"/>
                <w:b/>
                <w:szCs w:val="24"/>
              </w:rPr>
              <w:t xml:space="preserve"> </w:t>
            </w:r>
          </w:p>
        </w:tc>
      </w:tr>
    </w:tbl>
    <w:p w14:paraId="05CC7728" w14:textId="09FD9F0D" w:rsidR="0036105C" w:rsidRPr="00574B71" w:rsidRDefault="00B41000" w:rsidP="00B41000">
      <w:pPr>
        <w:rPr>
          <w:lang w:val="fr-CA"/>
        </w:rPr>
      </w:pPr>
      <w:r w:rsidRPr="001E65E6">
        <w:rPr>
          <w:rFonts w:asciiTheme="majorHAnsi" w:hAnsiTheme="majorHAnsi" w:cstheme="majorHAnsi"/>
          <w:szCs w:val="24"/>
        </w:rPr>
        <w:t xml:space="preserve"> </w:t>
      </w:r>
    </w:p>
    <w:p w14:paraId="1003FB65" w14:textId="77777777" w:rsidR="0036105C" w:rsidRPr="00B41000" w:rsidRDefault="0036105C" w:rsidP="00B41000">
      <w:pPr>
        <w:shd w:val="clear" w:color="auto" w:fill="D9D9D9" w:themeFill="background1" w:themeFillShade="D9"/>
        <w:jc w:val="center"/>
        <w:rPr>
          <w:rFonts w:cs="Arial"/>
          <w:b/>
          <w:szCs w:val="24"/>
        </w:rPr>
      </w:pPr>
      <w:r w:rsidRPr="00B41000">
        <w:rPr>
          <w:rFonts w:cs="Arial"/>
          <w:b/>
          <w:szCs w:val="24"/>
        </w:rPr>
        <w:t>POLITIQUE</w:t>
      </w:r>
    </w:p>
    <w:p w14:paraId="03D01E92" w14:textId="77777777" w:rsidR="0036105C" w:rsidRPr="00574B71" w:rsidRDefault="0036105C" w:rsidP="0036105C">
      <w:pPr>
        <w:rPr>
          <w:lang w:val="fr-CA"/>
        </w:rPr>
      </w:pPr>
      <w:r w:rsidRPr="00574B71">
        <w:rPr>
          <w:rFonts w:cs="Arial"/>
          <w:szCs w:val="24"/>
          <w:lang w:val="fr-CA"/>
        </w:rPr>
        <w:t>L’Association canadienne pour la santé mentale (ACSM) a pour engagement de répondre aux besoins de tout un chacun.</w:t>
      </w:r>
      <w:r w:rsidRPr="00574B71">
        <w:rPr>
          <w:lang w:val="fr-CA"/>
        </w:rPr>
        <w:t xml:space="preserve"> </w:t>
      </w:r>
      <w:r w:rsidRPr="00574B71">
        <w:rPr>
          <w:rFonts w:cs="Arial"/>
          <w:szCs w:val="24"/>
          <w:lang w:val="fr-CA"/>
        </w:rPr>
        <w:t>Cela dit, nous nous efforçons de procurer des biens et des services de qualité qui sont accessibles à tous</w:t>
      </w:r>
      <w:r w:rsidRPr="00574B71">
        <w:rPr>
          <w:lang w:val="fr-CA"/>
        </w:rPr>
        <w:t xml:space="preserve">. </w:t>
      </w:r>
      <w:r w:rsidRPr="00574B71">
        <w:rPr>
          <w:rFonts w:cs="Arial"/>
          <w:szCs w:val="24"/>
          <w:lang w:val="fr-CA"/>
        </w:rPr>
        <w:t>La présente politique a pour objectif d’établir des lignes directrices pour signaler toute perturbation dans la prestation de biens et de services aux personnes handicapées.</w:t>
      </w:r>
      <w:r w:rsidRPr="00574B71">
        <w:rPr>
          <w:lang w:val="fr-CA"/>
        </w:rPr>
        <w:t xml:space="preserve"> </w:t>
      </w:r>
    </w:p>
    <w:p w14:paraId="62318873" w14:textId="77777777" w:rsidR="0036105C" w:rsidRPr="00B41000" w:rsidRDefault="0036105C" w:rsidP="00B41000">
      <w:pPr>
        <w:shd w:val="clear" w:color="auto" w:fill="D9D9D9" w:themeFill="background1" w:themeFillShade="D9"/>
        <w:jc w:val="center"/>
        <w:rPr>
          <w:rFonts w:cs="Arial"/>
          <w:b/>
          <w:szCs w:val="24"/>
        </w:rPr>
      </w:pPr>
      <w:r w:rsidRPr="00B41000">
        <w:rPr>
          <w:rFonts w:cs="Arial"/>
          <w:b/>
          <w:szCs w:val="24"/>
        </w:rPr>
        <w:t>PROCÉDURE</w:t>
      </w:r>
    </w:p>
    <w:p w14:paraId="214C9393" w14:textId="77777777" w:rsidR="0036105C" w:rsidRPr="00574B71" w:rsidRDefault="0036105C" w:rsidP="0036105C">
      <w:pPr>
        <w:rPr>
          <w:lang w:val="fr-CA"/>
        </w:rPr>
      </w:pPr>
      <w:r w:rsidRPr="00574B71">
        <w:rPr>
          <w:lang w:val="fr-CA"/>
        </w:rPr>
        <w:t>L’ACSM informera le public lorsque les installations ou les services qu’utilisent les particuliers sont temporairement indisponibles en raison d’une interruption planifiée ou non planifiée.</w:t>
      </w:r>
    </w:p>
    <w:p w14:paraId="11C6222E" w14:textId="77777777" w:rsidR="0036105C" w:rsidRPr="00574B71" w:rsidRDefault="0036105C" w:rsidP="0036105C">
      <w:pPr>
        <w:rPr>
          <w:b/>
          <w:bCs/>
          <w:lang w:val="fr-CA"/>
        </w:rPr>
      </w:pPr>
      <w:r w:rsidRPr="00574B71">
        <w:rPr>
          <w:b/>
          <w:bCs/>
          <w:lang w:val="fr-CA"/>
        </w:rPr>
        <w:t>Avis de perturbation de service :</w:t>
      </w:r>
    </w:p>
    <w:p w14:paraId="791A05E4" w14:textId="77777777" w:rsidR="0036105C" w:rsidRPr="00574B71" w:rsidRDefault="0036105C" w:rsidP="0036105C">
      <w:pPr>
        <w:pStyle w:val="ListParagraph"/>
        <w:numPr>
          <w:ilvl w:val="0"/>
          <w:numId w:val="1"/>
        </w:numPr>
        <w:spacing w:after="0"/>
        <w:rPr>
          <w:lang w:val="fr-CA"/>
        </w:rPr>
      </w:pPr>
      <w:r w:rsidRPr="00574B71">
        <w:rPr>
          <w:lang w:val="fr-CA"/>
        </w:rPr>
        <w:t xml:space="preserve">Dans l’éventualité d’une interruption temporaire de la disponibilité de services ou d’installations qu’utilisent les particuliers (p. ex., indisponibilité temporaire de l’ascenseur), l’ACSM informera le public de la raison, de la (des) date(s) et de la durée anticipée de la perturbation et lui fournira une description d’autres installations ou services disponibles, le cas échéant. </w:t>
      </w:r>
    </w:p>
    <w:p w14:paraId="7660EB18" w14:textId="77777777" w:rsidR="0036105C" w:rsidRPr="00574B71" w:rsidRDefault="0036105C" w:rsidP="0036105C">
      <w:pPr>
        <w:pStyle w:val="ListParagraph"/>
        <w:numPr>
          <w:ilvl w:val="0"/>
          <w:numId w:val="1"/>
        </w:numPr>
        <w:spacing w:after="0"/>
        <w:rPr>
          <w:lang w:val="fr-CA"/>
        </w:rPr>
      </w:pPr>
      <w:r w:rsidRPr="00574B71">
        <w:rPr>
          <w:lang w:val="fr-CA"/>
        </w:rPr>
        <w:t xml:space="preserve">Cet avis peut être fourni de différentes façons, selon les circonstances. L’avis peut, par exemple, prendre la forme d’affiches laissées dans des endroits visibles dans les lieux concernés (notamment dans les aires communes près de l’ascenseur ou </w:t>
      </w:r>
      <w:r>
        <w:rPr>
          <w:lang w:val="fr-CA"/>
        </w:rPr>
        <w:t>à côté</w:t>
      </w:r>
      <w:r w:rsidRPr="00574B71">
        <w:rPr>
          <w:lang w:val="fr-CA"/>
        </w:rPr>
        <w:t xml:space="preserve"> de l’ascenseur au rez-de-chaussée). Il peut être publié dans le site Web de l’ACSM (il faut fournir l’adresse du site Web) ou être signifié d’autres manières qui garantiront que l’avis atteigne les personnes qui pourraient être touchées par la perturbation temporaire.  </w:t>
      </w:r>
    </w:p>
    <w:p w14:paraId="7F27EDE1" w14:textId="77777777" w:rsidR="0036105C" w:rsidRPr="00574B71" w:rsidRDefault="0036105C" w:rsidP="0036105C">
      <w:pPr>
        <w:pStyle w:val="ListParagraph"/>
        <w:numPr>
          <w:ilvl w:val="0"/>
          <w:numId w:val="1"/>
        </w:numPr>
        <w:spacing w:after="0"/>
        <w:rPr>
          <w:lang w:val="fr-CA"/>
        </w:rPr>
      </w:pPr>
      <w:r w:rsidRPr="00574B71">
        <w:rPr>
          <w:lang w:val="fr-CA"/>
        </w:rPr>
        <w:t xml:space="preserve">Si la perturbation est prévue, un préavis raisonnable </w:t>
      </w:r>
      <w:r>
        <w:rPr>
          <w:lang w:val="fr-CA"/>
        </w:rPr>
        <w:t>doit être</w:t>
      </w:r>
      <w:r w:rsidRPr="00574B71">
        <w:rPr>
          <w:lang w:val="fr-CA"/>
        </w:rPr>
        <w:t xml:space="preserve"> procuré. Si la perturbation est inattendue, l’avis sera procuré dès que possible.  </w:t>
      </w:r>
    </w:p>
    <w:p w14:paraId="39DDBBD0" w14:textId="77777777" w:rsidR="0036105C" w:rsidRPr="00574B71" w:rsidRDefault="0036105C" w:rsidP="0036105C">
      <w:pPr>
        <w:jc w:val="center"/>
        <w:rPr>
          <w:b/>
          <w:bCs/>
          <w:u w:val="single"/>
          <w:lang w:val="fr-CA"/>
        </w:rPr>
      </w:pPr>
    </w:p>
    <w:p w14:paraId="0A7AE3C5" w14:textId="77777777" w:rsidR="0036105C" w:rsidRPr="00B41000" w:rsidRDefault="0036105C" w:rsidP="00B41000">
      <w:pPr>
        <w:shd w:val="clear" w:color="auto" w:fill="D9D9D9" w:themeFill="background1" w:themeFillShade="D9"/>
        <w:jc w:val="center"/>
        <w:rPr>
          <w:rFonts w:cs="Arial"/>
          <w:b/>
          <w:szCs w:val="24"/>
        </w:rPr>
      </w:pPr>
      <w:r w:rsidRPr="00B41000">
        <w:rPr>
          <w:rFonts w:cs="Arial"/>
          <w:b/>
          <w:szCs w:val="24"/>
        </w:rPr>
        <w:t>DOCUMENTS DE RÉFÉRENCE</w:t>
      </w:r>
    </w:p>
    <w:p w14:paraId="2780C1CD" w14:textId="77777777" w:rsidR="0036105C" w:rsidRPr="00574B71" w:rsidRDefault="0036105C" w:rsidP="0036105C">
      <w:pPr>
        <w:rPr>
          <w:lang w:val="fr-CA"/>
        </w:rPr>
      </w:pPr>
      <w:r w:rsidRPr="00574B71">
        <w:rPr>
          <w:lang w:val="fr-CA"/>
        </w:rPr>
        <w:t xml:space="preserve"> </w:t>
      </w:r>
    </w:p>
    <w:p w14:paraId="1197A905" w14:textId="77777777" w:rsidR="0036105C" w:rsidRPr="00574B71" w:rsidRDefault="0036105C" w:rsidP="0036105C">
      <w:pPr>
        <w:rPr>
          <w:lang w:val="fr-CA"/>
        </w:rPr>
      </w:pPr>
      <w:r w:rsidRPr="00574B71">
        <w:rPr>
          <w:lang w:val="fr-CA"/>
        </w:rPr>
        <w:t>RESPONSABLE : Directeur général / Directrice générale</w:t>
      </w:r>
    </w:p>
    <w:p w14:paraId="22A637DC" w14:textId="77777777" w:rsidR="008A0B0B" w:rsidRDefault="008A0B0B"/>
    <w:sectPr w:rsidR="008A0B0B" w:rsidSect="00B41000">
      <w:footerReference w:type="default" r:id="rId9"/>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A2174" w14:textId="77777777" w:rsidR="00B41000" w:rsidRDefault="00B41000" w:rsidP="00B41000">
      <w:pPr>
        <w:spacing w:after="0" w:line="240" w:lineRule="auto"/>
      </w:pPr>
      <w:r>
        <w:separator/>
      </w:r>
    </w:p>
  </w:endnote>
  <w:endnote w:type="continuationSeparator" w:id="0">
    <w:p w14:paraId="2D5C3E54" w14:textId="77777777" w:rsidR="00B41000" w:rsidRDefault="00B41000" w:rsidP="00B4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B41000" w:rsidRPr="000A2186" w14:paraId="24DA2822" w14:textId="77777777" w:rsidTr="006E054C">
      <w:tc>
        <w:tcPr>
          <w:tcW w:w="918" w:type="dxa"/>
          <w:tcBorders>
            <w:top w:val="single" w:sz="4" w:space="0" w:color="auto"/>
            <w:right w:val="single" w:sz="4" w:space="0" w:color="auto"/>
          </w:tcBorders>
        </w:tcPr>
        <w:p w14:paraId="6F3B253C" w14:textId="77777777" w:rsidR="00B41000" w:rsidRPr="000A2186" w:rsidRDefault="00B41000" w:rsidP="00B41000">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2B3A61">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4B105200" w14:textId="77777777" w:rsidR="00B41000" w:rsidRPr="00CD1F31" w:rsidRDefault="00B41000" w:rsidP="00B41000">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 </w:t>
          </w:r>
          <w:r>
            <w:rPr>
              <w:rFonts w:cs="Arial"/>
              <w:color w:val="00B1B0"/>
              <w:sz w:val="14"/>
              <w:szCs w:val="14"/>
            </w:rPr>
            <w:t>Accessible Customer Service – Notice of Disruption</w:t>
          </w:r>
          <w:r w:rsidRPr="00130FDD">
            <w:rPr>
              <w:rFonts w:cs="Arial"/>
              <w:color w:val="00B1B0"/>
              <w:sz w:val="12"/>
              <w:szCs w:val="12"/>
            </w:rPr>
            <w:t xml:space="preserve"> </w:t>
          </w:r>
        </w:p>
        <w:p w14:paraId="4C26B6B8" w14:textId="77777777" w:rsidR="00B41000" w:rsidRPr="000A2186" w:rsidRDefault="00B41000" w:rsidP="00B41000">
          <w:pPr>
            <w:pStyle w:val="Footer"/>
            <w:spacing w:before="60"/>
            <w:jc w:val="right"/>
            <w:rPr>
              <w:rFonts w:cs="Arial"/>
              <w:color w:val="00B1B0"/>
              <w:sz w:val="14"/>
              <w:szCs w:val="14"/>
            </w:rPr>
          </w:pPr>
        </w:p>
        <w:p w14:paraId="043CA031" w14:textId="77777777" w:rsidR="00B41000" w:rsidRPr="000A2186" w:rsidRDefault="00B41000" w:rsidP="00B41000">
          <w:pPr>
            <w:pStyle w:val="Footer"/>
            <w:spacing w:before="60"/>
            <w:rPr>
              <w:rFonts w:cs="Arial"/>
              <w:color w:val="00B1B0"/>
              <w:sz w:val="14"/>
              <w:szCs w:val="14"/>
            </w:rPr>
          </w:pPr>
        </w:p>
      </w:tc>
    </w:tr>
  </w:tbl>
  <w:p w14:paraId="14F84A55" w14:textId="77777777" w:rsidR="00B41000" w:rsidRPr="00B41000" w:rsidRDefault="00B4100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1965" w14:textId="77777777" w:rsidR="00B41000" w:rsidRDefault="00B41000" w:rsidP="00B41000">
      <w:pPr>
        <w:spacing w:after="0" w:line="240" w:lineRule="auto"/>
      </w:pPr>
      <w:r>
        <w:separator/>
      </w:r>
    </w:p>
  </w:footnote>
  <w:footnote w:type="continuationSeparator" w:id="0">
    <w:p w14:paraId="66FF919D" w14:textId="77777777" w:rsidR="00B41000" w:rsidRDefault="00B41000" w:rsidP="00B4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506C"/>
    <w:multiLevelType w:val="hybridMultilevel"/>
    <w:tmpl w:val="88FA646C"/>
    <w:lvl w:ilvl="0" w:tplc="D9900B8C">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5C"/>
    <w:rsid w:val="0036105C"/>
    <w:rsid w:val="00877F95"/>
    <w:rsid w:val="008A0B0B"/>
    <w:rsid w:val="00B41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70C"/>
  <w15:chartTrackingRefBased/>
  <w15:docId w15:val="{D3218BE8-59F8-4075-AE3B-3D2EC4A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5C"/>
    <w:pPr>
      <w:ind w:left="720"/>
      <w:contextualSpacing/>
    </w:pPr>
  </w:style>
  <w:style w:type="paragraph" w:styleId="Header">
    <w:name w:val="header"/>
    <w:basedOn w:val="Normal"/>
    <w:link w:val="HeaderChar"/>
    <w:uiPriority w:val="99"/>
    <w:unhideWhenUsed/>
    <w:rsid w:val="00B4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000"/>
    <w:rPr>
      <w:rFonts w:ascii="Arial" w:hAnsi="Arial"/>
      <w:sz w:val="24"/>
    </w:rPr>
  </w:style>
  <w:style w:type="paragraph" w:styleId="Footer">
    <w:name w:val="footer"/>
    <w:basedOn w:val="Normal"/>
    <w:link w:val="FooterChar"/>
    <w:uiPriority w:val="99"/>
    <w:unhideWhenUsed/>
    <w:rsid w:val="00B4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0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2</cp:revision>
  <dcterms:created xsi:type="dcterms:W3CDTF">2021-09-16T18:03:00Z</dcterms:created>
  <dcterms:modified xsi:type="dcterms:W3CDTF">2021-09-16T18:03:00Z</dcterms:modified>
</cp:coreProperties>
</file>