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C06B78" w:rsidRPr="00C06B78" w14:paraId="7A7EF4B2" w14:textId="77777777" w:rsidTr="005437E8">
        <w:tc>
          <w:tcPr>
            <w:tcW w:w="4430" w:type="dxa"/>
            <w:tcBorders>
              <w:top w:val="nil"/>
              <w:left w:val="nil"/>
            </w:tcBorders>
          </w:tcPr>
          <w:p w14:paraId="3E6FAA71" w14:textId="77777777" w:rsidR="00C06B78" w:rsidRPr="00C06B78" w:rsidRDefault="00C06B78" w:rsidP="005437E8">
            <w:pPr>
              <w:rPr>
                <w:rFonts w:cs="Arial"/>
                <w:b/>
                <w:szCs w:val="24"/>
              </w:rPr>
            </w:pPr>
            <w:r w:rsidRPr="00C06B78">
              <w:rPr>
                <w:rFonts w:cs="Arial"/>
                <w:b/>
                <w:noProof/>
                <w:szCs w:val="24"/>
                <w:lang w:eastAsia="en-CA"/>
              </w:rPr>
              <w:drawing>
                <wp:inline distT="0" distB="0" distL="0" distR="0" wp14:anchorId="4E82989B" wp14:editId="03254329">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5CEA8665" w14:textId="77777777" w:rsidR="00C06B78" w:rsidRPr="00C06B78" w:rsidRDefault="00C06B78" w:rsidP="005437E8">
            <w:pPr>
              <w:rPr>
                <w:rFonts w:cs="Arial"/>
                <w:b/>
                <w:szCs w:val="24"/>
              </w:rPr>
            </w:pPr>
          </w:p>
        </w:tc>
        <w:tc>
          <w:tcPr>
            <w:tcW w:w="6593" w:type="dxa"/>
            <w:gridSpan w:val="2"/>
          </w:tcPr>
          <w:p w14:paraId="2C32A643" w14:textId="77777777" w:rsidR="00C06B78" w:rsidRPr="00C06B78" w:rsidRDefault="00C06B78" w:rsidP="005437E8">
            <w:pPr>
              <w:jc w:val="right"/>
              <w:rPr>
                <w:rFonts w:cs="Arial"/>
                <w:szCs w:val="24"/>
              </w:rPr>
            </w:pPr>
          </w:p>
          <w:p w14:paraId="243C4205" w14:textId="77777777" w:rsidR="00C06B78" w:rsidRPr="00574B71" w:rsidRDefault="00C06B78" w:rsidP="00C06B78">
            <w:pPr>
              <w:jc w:val="right"/>
              <w:rPr>
                <w:b/>
                <w:bCs/>
                <w:lang w:val="fr-CA"/>
              </w:rPr>
            </w:pPr>
            <w:r w:rsidRPr="00574B71">
              <w:rPr>
                <w:b/>
                <w:bCs/>
                <w:lang w:val="fr-CA"/>
              </w:rPr>
              <w:t>POLITIQUES DES EMPLOYÉS</w:t>
            </w:r>
          </w:p>
          <w:p w14:paraId="36BD87F8" w14:textId="77777777" w:rsidR="00C06B78" w:rsidRPr="00574B71" w:rsidRDefault="00C06B78" w:rsidP="00C06B78">
            <w:pPr>
              <w:jc w:val="right"/>
              <w:rPr>
                <w:b/>
                <w:bCs/>
                <w:lang w:val="fr-CA"/>
              </w:rPr>
            </w:pPr>
            <w:r w:rsidRPr="00574B71">
              <w:rPr>
                <w:lang w:val="fr-CA"/>
              </w:rPr>
              <w:t xml:space="preserve">Catégorie : </w:t>
            </w:r>
            <w:r w:rsidRPr="00574B71">
              <w:rPr>
                <w:b/>
                <w:bCs/>
                <w:lang w:val="fr-CA"/>
              </w:rPr>
              <w:t>Accessibilité</w:t>
            </w:r>
          </w:p>
          <w:p w14:paraId="474D45E3" w14:textId="76B54C47" w:rsidR="00C06B78" w:rsidRPr="00C06B78" w:rsidRDefault="00C06B78" w:rsidP="005437E8">
            <w:pPr>
              <w:jc w:val="right"/>
              <w:rPr>
                <w:rFonts w:cs="Arial"/>
                <w:b/>
                <w:szCs w:val="24"/>
              </w:rPr>
            </w:pPr>
          </w:p>
        </w:tc>
      </w:tr>
      <w:tr w:rsidR="00C06B78" w:rsidRPr="00C06B78" w14:paraId="60AE468D" w14:textId="77777777" w:rsidTr="005437E8">
        <w:tc>
          <w:tcPr>
            <w:tcW w:w="4430" w:type="dxa"/>
          </w:tcPr>
          <w:p w14:paraId="737E4BB2" w14:textId="77777777" w:rsidR="00C06B78" w:rsidRPr="00C06B78" w:rsidRDefault="00C06B78" w:rsidP="005437E8">
            <w:pPr>
              <w:rPr>
                <w:rFonts w:cs="Arial"/>
                <w:szCs w:val="24"/>
              </w:rPr>
            </w:pPr>
          </w:p>
          <w:p w14:paraId="24A6589F" w14:textId="77777777" w:rsidR="00C06B78" w:rsidRPr="00574B71" w:rsidRDefault="00C06B78" w:rsidP="00C06B78">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3863268A" w14:textId="1CA2938C" w:rsidR="00C06B78" w:rsidRPr="00C06B78" w:rsidRDefault="00C06B78" w:rsidP="00C06B78">
            <w:pPr>
              <w:rPr>
                <w:rFonts w:cs="Arial"/>
                <w:szCs w:val="24"/>
              </w:rPr>
            </w:pPr>
            <w:r w:rsidRPr="00574B71">
              <w:rPr>
                <w:b/>
                <w:bCs/>
                <w:lang w:val="fr-CA"/>
              </w:rPr>
              <w:t>Revue / Révisée / Approuvée :</w:t>
            </w:r>
            <w:r w:rsidRPr="00574B71">
              <w:rPr>
                <w:lang w:val="fr-CA"/>
              </w:rPr>
              <w:t xml:space="preserve"> 25 août 2016</w:t>
            </w:r>
          </w:p>
        </w:tc>
        <w:tc>
          <w:tcPr>
            <w:tcW w:w="1915" w:type="dxa"/>
          </w:tcPr>
          <w:p w14:paraId="4ECA5599" w14:textId="77777777" w:rsidR="00C06B78" w:rsidRPr="00C06B78" w:rsidRDefault="00C06B78" w:rsidP="005437E8">
            <w:pPr>
              <w:rPr>
                <w:rFonts w:cs="Arial"/>
                <w:szCs w:val="24"/>
              </w:rPr>
            </w:pPr>
          </w:p>
          <w:p w14:paraId="167F354B" w14:textId="77777777" w:rsidR="00C06B78" w:rsidRPr="00574B71" w:rsidRDefault="00C06B78" w:rsidP="00C06B78">
            <w:pPr>
              <w:rPr>
                <w:lang w:val="fr-CA"/>
              </w:rPr>
            </w:pPr>
            <w:r w:rsidRPr="00574B71">
              <w:rPr>
                <w:lang w:val="fr-CA"/>
              </w:rPr>
              <w:t>Numéro :</w:t>
            </w:r>
          </w:p>
          <w:p w14:paraId="6E91D0EC" w14:textId="77777777" w:rsidR="00C06B78" w:rsidRPr="00C06B78" w:rsidRDefault="00C06B78" w:rsidP="005437E8">
            <w:pPr>
              <w:rPr>
                <w:rFonts w:cs="Arial"/>
                <w:b/>
                <w:szCs w:val="24"/>
              </w:rPr>
            </w:pPr>
            <w:r w:rsidRPr="00C06B78">
              <w:rPr>
                <w:rFonts w:cs="Arial"/>
                <w:szCs w:val="24"/>
              </w:rPr>
              <w:t>AL-AC-C0005</w:t>
            </w:r>
          </w:p>
        </w:tc>
        <w:tc>
          <w:tcPr>
            <w:tcW w:w="4678" w:type="dxa"/>
            <w:shd w:val="clear" w:color="auto" w:fill="D9D9D9" w:themeFill="background1" w:themeFillShade="D9"/>
          </w:tcPr>
          <w:p w14:paraId="6B08E073" w14:textId="77777777" w:rsidR="00C06B78" w:rsidRPr="00C06B78" w:rsidRDefault="00C06B78" w:rsidP="005437E8">
            <w:pPr>
              <w:jc w:val="right"/>
              <w:rPr>
                <w:rFonts w:cs="Arial"/>
                <w:b/>
                <w:szCs w:val="24"/>
              </w:rPr>
            </w:pPr>
          </w:p>
          <w:p w14:paraId="061FFCD7" w14:textId="77777777" w:rsidR="00C06B78" w:rsidRPr="00574B71" w:rsidRDefault="00C06B78" w:rsidP="00C06B78">
            <w:pPr>
              <w:jc w:val="right"/>
              <w:rPr>
                <w:b/>
                <w:bCs/>
                <w:lang w:val="fr-CA"/>
              </w:rPr>
            </w:pPr>
            <w:r w:rsidRPr="00574B71">
              <w:rPr>
                <w:b/>
                <w:bCs/>
                <w:lang w:val="fr-CA"/>
              </w:rPr>
              <w:t xml:space="preserve">ACCESSIBILITÉ DES SERVICES À LA CLIENTÈLE – PERSONNES DE SOUTIEN </w:t>
            </w:r>
          </w:p>
          <w:p w14:paraId="2411F9F1" w14:textId="77777777" w:rsidR="00C06B78" w:rsidRPr="00C06B78" w:rsidRDefault="00C06B78" w:rsidP="00C06B78">
            <w:pPr>
              <w:rPr>
                <w:rFonts w:cs="Arial"/>
                <w:b/>
                <w:szCs w:val="24"/>
              </w:rPr>
            </w:pPr>
          </w:p>
        </w:tc>
      </w:tr>
    </w:tbl>
    <w:p w14:paraId="07D29604" w14:textId="77777777" w:rsidR="00A54FB5" w:rsidRPr="00574B71" w:rsidRDefault="00A54FB5" w:rsidP="00A54FB5">
      <w:pPr>
        <w:spacing w:after="0"/>
        <w:jc w:val="center"/>
        <w:rPr>
          <w:b/>
          <w:bCs/>
          <w:szCs w:val="10"/>
          <w:u w:val="single"/>
          <w:lang w:val="fr-CA"/>
        </w:rPr>
      </w:pPr>
    </w:p>
    <w:p w14:paraId="34D1BB32" w14:textId="77777777" w:rsidR="00A54FB5" w:rsidRPr="00C06B78" w:rsidRDefault="00A54FB5" w:rsidP="00C06B78">
      <w:pPr>
        <w:shd w:val="clear" w:color="auto" w:fill="D9D9D9" w:themeFill="background1" w:themeFillShade="D9"/>
        <w:jc w:val="center"/>
        <w:rPr>
          <w:rFonts w:cs="Arial"/>
          <w:b/>
          <w:szCs w:val="24"/>
        </w:rPr>
      </w:pPr>
      <w:r w:rsidRPr="00C06B78">
        <w:rPr>
          <w:rFonts w:cs="Arial"/>
          <w:b/>
          <w:szCs w:val="24"/>
        </w:rPr>
        <w:t>POLITIQUE</w:t>
      </w:r>
    </w:p>
    <w:p w14:paraId="6D07394A" w14:textId="77777777" w:rsidR="00A54FB5" w:rsidRPr="00574B71" w:rsidRDefault="00A54FB5" w:rsidP="00A54FB5">
      <w:pPr>
        <w:rPr>
          <w:lang w:val="fr-CA"/>
        </w:rPr>
      </w:pPr>
      <w:r w:rsidRPr="00574B71">
        <w:rPr>
          <w:rFonts w:cs="Arial"/>
          <w:szCs w:val="24"/>
          <w:lang w:val="fr-CA"/>
        </w:rPr>
        <w:t>L’Association canadienne pour la santé mentale (ACSM) a pour engagement de répondre aux besoins de tout un chacun. Cela dit, nous nous efforçons de procurer des biens et des services de qualité qui sont accessibles à tous. La présente politique a pour objectif d’établir des lignes directrices pour la prestation de biens et de services aux personnes handicapées qui ont besoin de l’aide de personnes de soutien.</w:t>
      </w:r>
    </w:p>
    <w:p w14:paraId="492DBAB4" w14:textId="77777777" w:rsidR="00A54FB5" w:rsidRPr="00574B71" w:rsidRDefault="00A54FB5" w:rsidP="00A54FB5">
      <w:pPr>
        <w:spacing w:after="0"/>
        <w:rPr>
          <w:lang w:val="fr-CA"/>
        </w:rPr>
      </w:pPr>
      <w:r w:rsidRPr="00574B71">
        <w:rPr>
          <w:b/>
          <w:bCs/>
          <w:lang w:val="fr-CA"/>
        </w:rPr>
        <w:t>Définition :</w:t>
      </w:r>
      <w:r w:rsidRPr="00574B71">
        <w:rPr>
          <w:lang w:val="fr-CA"/>
        </w:rPr>
        <w:t xml:space="preserve"> </w:t>
      </w:r>
      <w:r w:rsidRPr="00574B71">
        <w:rPr>
          <w:u w:val="single"/>
          <w:lang w:val="fr-CA"/>
        </w:rPr>
        <w:t xml:space="preserve">Personne de soutien </w:t>
      </w:r>
    </w:p>
    <w:p w14:paraId="7A6057BD" w14:textId="77777777" w:rsidR="00A54FB5" w:rsidRPr="00574B71" w:rsidRDefault="00A54FB5" w:rsidP="00A54FB5">
      <w:pPr>
        <w:spacing w:after="0"/>
        <w:rPr>
          <w:sz w:val="14"/>
          <w:szCs w:val="12"/>
          <w:u w:val="single"/>
          <w:lang w:val="fr-CA"/>
        </w:rPr>
      </w:pPr>
    </w:p>
    <w:p w14:paraId="5D12F162" w14:textId="77777777" w:rsidR="00A54FB5" w:rsidRPr="00574B71" w:rsidRDefault="00A54FB5" w:rsidP="00A54FB5">
      <w:pPr>
        <w:spacing w:after="0"/>
        <w:rPr>
          <w:lang w:val="fr-CA"/>
        </w:rPr>
      </w:pPr>
      <w:r w:rsidRPr="00574B71">
        <w:rPr>
          <w:lang w:val="fr-CA"/>
        </w:rPr>
        <w:t xml:space="preserve">Une personne de soutien est définie comme étant une autre personne qui accompagne une personne handicapée afin de l’aider dans le cadre de sa communication, de sa mobilité, de ses soins personnels, de ses soins médicaux ou de </w:t>
      </w:r>
      <w:r>
        <w:rPr>
          <w:lang w:val="fr-CA"/>
        </w:rPr>
        <w:t>l’accès à des</w:t>
      </w:r>
      <w:r w:rsidRPr="00574B71">
        <w:rPr>
          <w:lang w:val="fr-CA"/>
        </w:rPr>
        <w:t xml:space="preserve"> biens ou </w:t>
      </w:r>
      <w:r>
        <w:rPr>
          <w:lang w:val="fr-CA"/>
        </w:rPr>
        <w:t>à d</w:t>
      </w:r>
      <w:r w:rsidRPr="00574B71">
        <w:rPr>
          <w:lang w:val="fr-CA"/>
        </w:rPr>
        <w:t>e</w:t>
      </w:r>
      <w:r>
        <w:rPr>
          <w:lang w:val="fr-CA"/>
        </w:rPr>
        <w:t>s</w:t>
      </w:r>
      <w:r w:rsidRPr="00574B71">
        <w:rPr>
          <w:lang w:val="fr-CA"/>
        </w:rPr>
        <w:t xml:space="preserve"> services.</w:t>
      </w:r>
    </w:p>
    <w:p w14:paraId="3AC32307" w14:textId="77777777" w:rsidR="00A54FB5" w:rsidRPr="00574B71" w:rsidRDefault="00A54FB5" w:rsidP="00A54FB5">
      <w:pPr>
        <w:spacing w:after="0"/>
        <w:rPr>
          <w:lang w:val="fr-CA"/>
        </w:rPr>
      </w:pPr>
    </w:p>
    <w:p w14:paraId="6B23A8FE" w14:textId="77777777" w:rsidR="00A54FB5" w:rsidRPr="00C06B78" w:rsidRDefault="00A54FB5" w:rsidP="00C06B78">
      <w:pPr>
        <w:shd w:val="clear" w:color="auto" w:fill="D9D9D9" w:themeFill="background1" w:themeFillShade="D9"/>
        <w:jc w:val="center"/>
        <w:rPr>
          <w:rFonts w:cs="Arial"/>
          <w:b/>
          <w:szCs w:val="24"/>
        </w:rPr>
      </w:pPr>
      <w:r w:rsidRPr="00C06B78">
        <w:rPr>
          <w:rFonts w:cs="Arial"/>
          <w:b/>
          <w:szCs w:val="24"/>
        </w:rPr>
        <w:t>PROCÉDURE</w:t>
      </w:r>
    </w:p>
    <w:p w14:paraId="5217163A" w14:textId="77777777" w:rsidR="00A54FB5" w:rsidRPr="00574B71" w:rsidRDefault="00A54FB5" w:rsidP="00A54FB5">
      <w:pPr>
        <w:pStyle w:val="ListParagraph"/>
        <w:numPr>
          <w:ilvl w:val="0"/>
          <w:numId w:val="5"/>
        </w:numPr>
        <w:spacing w:after="0"/>
        <w:rPr>
          <w:lang w:val="fr-CA"/>
        </w:rPr>
      </w:pPr>
      <w:r w:rsidRPr="00574B71">
        <w:rPr>
          <w:lang w:val="fr-CA"/>
        </w:rPr>
        <w:t xml:space="preserve">L’ACSM a pour engagement d’accueillir les personnes handicapées qui sont accompagnées d’une personne de soutien. Les personnes handicapées ont le droit d’avoir accès à leur personne de soutien alors qu’elles obtiennent des biens et des services de l’ACSM. </w:t>
      </w:r>
    </w:p>
    <w:p w14:paraId="5ABC95F2" w14:textId="77777777" w:rsidR="00A54FB5" w:rsidRPr="00574B71" w:rsidRDefault="00A54FB5" w:rsidP="00A54FB5">
      <w:pPr>
        <w:pStyle w:val="ListParagraph"/>
        <w:numPr>
          <w:ilvl w:val="0"/>
          <w:numId w:val="5"/>
        </w:numPr>
        <w:spacing w:after="0"/>
        <w:rPr>
          <w:lang w:val="fr-CA"/>
        </w:rPr>
      </w:pPr>
      <w:r w:rsidRPr="00574B71">
        <w:rPr>
          <w:lang w:val="fr-CA"/>
        </w:rPr>
        <w:t xml:space="preserve">Si des renseignements confidentiels feront l’objet d’une discussion, nous devons demander à la personne handicapée si elle préfère que sa personne de soutien y participe. Si la personne de soutien doit participer à une discussion dans le cadre de laquelle des renseignements confidentiels seront divulgués, un consentement signé doit être obtenu de la part de la personne handicapée. De même, une entente de confidentialité doit être signée par la personne de soutien. Une documentation écrite sera procurée, décrivant les attentes que doivent respecter les personnes de soutien. Voir les lignes directrices relatives aux personnes de soutien. </w:t>
      </w:r>
    </w:p>
    <w:p w14:paraId="0FD14DD1" w14:textId="77777777" w:rsidR="00A54FB5" w:rsidRPr="00574B71" w:rsidRDefault="00A54FB5" w:rsidP="00A54FB5">
      <w:pPr>
        <w:pStyle w:val="ListParagraph"/>
        <w:numPr>
          <w:ilvl w:val="0"/>
          <w:numId w:val="5"/>
        </w:numPr>
        <w:spacing w:after="0"/>
        <w:rPr>
          <w:lang w:val="fr-CA"/>
        </w:rPr>
      </w:pPr>
      <w:r w:rsidRPr="00574B71">
        <w:rPr>
          <w:lang w:val="fr-CA"/>
        </w:rPr>
        <w:t xml:space="preserve">L’ACSM peut demander qu’une personne handicapée se fasse accompagner d’une personne de soutien si elle juge cela nécessaire pour protéger la santé ou la sécurité de la personne handicapée ou encore la santé ou la sécurité des autres personnes sur les lieux. Une telle demande sera présentée uniquement après consultation avec la personne handicapée et uniquement s’il s’agit du seul moyen de donner à la personne handicapée accès aux biens ou aux services de l’ACSM. La consultation avec le locataire ou le client doit satisfaire les critères suivants : </w:t>
      </w:r>
    </w:p>
    <w:p w14:paraId="6BA309CA" w14:textId="77777777" w:rsidR="00A54FB5" w:rsidRPr="00574B71" w:rsidRDefault="00A54FB5" w:rsidP="00A54FB5">
      <w:pPr>
        <w:pStyle w:val="ListParagraph"/>
        <w:numPr>
          <w:ilvl w:val="0"/>
          <w:numId w:val="6"/>
        </w:numPr>
        <w:spacing w:after="0"/>
        <w:rPr>
          <w:lang w:val="fr-CA"/>
        </w:rPr>
      </w:pPr>
      <w:proofErr w:type="gramStart"/>
      <w:r w:rsidRPr="00574B71">
        <w:rPr>
          <w:lang w:val="fr-CA"/>
        </w:rPr>
        <w:t>le</w:t>
      </w:r>
      <w:proofErr w:type="gramEnd"/>
      <w:r w:rsidRPr="00574B71">
        <w:rPr>
          <w:lang w:val="fr-CA"/>
        </w:rPr>
        <w:t xml:space="preserve"> risque doit être plus grand que le risque associé à d’autres personnes; </w:t>
      </w:r>
    </w:p>
    <w:p w14:paraId="68BB736E" w14:textId="77777777" w:rsidR="00A54FB5" w:rsidRPr="00574B71" w:rsidRDefault="00A54FB5" w:rsidP="00A54FB5">
      <w:pPr>
        <w:spacing w:after="0"/>
        <w:ind w:left="720" w:hanging="360"/>
        <w:rPr>
          <w:lang w:val="fr-CA"/>
        </w:rPr>
      </w:pPr>
      <w:r w:rsidRPr="00574B71">
        <w:rPr>
          <w:lang w:val="fr-CA"/>
        </w:rPr>
        <w:t>b)</w:t>
      </w:r>
      <w:r w:rsidRPr="00574B71">
        <w:rPr>
          <w:lang w:val="fr-CA"/>
        </w:rPr>
        <w:tab/>
        <w:t xml:space="preserve">il existe un risque clair et considérable pour la santé ou la sécurité de la personne handicapée ou d’autres personnes; </w:t>
      </w:r>
    </w:p>
    <w:p w14:paraId="7A483646" w14:textId="77777777" w:rsidR="00A54FB5" w:rsidRPr="00574B71" w:rsidRDefault="00A54FB5" w:rsidP="00A54FB5">
      <w:pPr>
        <w:spacing w:after="0"/>
        <w:ind w:left="360"/>
        <w:rPr>
          <w:lang w:val="fr-CA"/>
        </w:rPr>
      </w:pPr>
      <w:r w:rsidRPr="00574B71">
        <w:rPr>
          <w:lang w:val="fr-CA"/>
        </w:rPr>
        <w:t>c)</w:t>
      </w:r>
      <w:r w:rsidRPr="00574B71">
        <w:rPr>
          <w:lang w:val="fr-CA"/>
        </w:rPr>
        <w:tab/>
        <w:t xml:space="preserve">le risque ne peut pas être </w:t>
      </w:r>
      <w:r>
        <w:rPr>
          <w:lang w:val="fr-CA"/>
        </w:rPr>
        <w:t xml:space="preserve">éliminé </w:t>
      </w:r>
      <w:r w:rsidRPr="00574B71">
        <w:rPr>
          <w:lang w:val="fr-CA"/>
        </w:rPr>
        <w:t xml:space="preserve">ou réduit par d’autres moyens;  </w:t>
      </w:r>
    </w:p>
    <w:p w14:paraId="3F570A2D" w14:textId="77777777" w:rsidR="00A54FB5" w:rsidRPr="00574B71" w:rsidRDefault="00A54FB5" w:rsidP="00A54FB5">
      <w:pPr>
        <w:spacing w:after="0"/>
        <w:ind w:left="720" w:hanging="360"/>
        <w:rPr>
          <w:lang w:val="fr-CA"/>
        </w:rPr>
      </w:pPr>
      <w:r w:rsidRPr="00574B71">
        <w:rPr>
          <w:lang w:val="fr-CA"/>
        </w:rPr>
        <w:t>d)</w:t>
      </w:r>
      <w:r w:rsidRPr="00574B71">
        <w:rPr>
          <w:lang w:val="fr-CA"/>
        </w:rPr>
        <w:tab/>
        <w:t xml:space="preserve">l’évaluation du risque se fonde sur la nature et la gravité des préjudices potentiels, sur la durée du risque, sur la probabilité des préjudices potentiels et sur l’imminence du </w:t>
      </w:r>
      <w:proofErr w:type="gramStart"/>
      <w:r w:rsidRPr="00574B71">
        <w:rPr>
          <w:lang w:val="fr-CA"/>
        </w:rPr>
        <w:t>risque potentiel</w:t>
      </w:r>
      <w:proofErr w:type="gramEnd"/>
      <w:r w:rsidRPr="00574B71">
        <w:rPr>
          <w:lang w:val="fr-CA"/>
        </w:rPr>
        <w:t>;</w:t>
      </w:r>
    </w:p>
    <w:p w14:paraId="092E25CF" w14:textId="77777777" w:rsidR="00A54FB5" w:rsidRPr="00574B71" w:rsidRDefault="00A54FB5" w:rsidP="00A54FB5">
      <w:pPr>
        <w:spacing w:after="0"/>
        <w:ind w:left="720" w:hanging="360"/>
        <w:rPr>
          <w:lang w:val="fr-CA"/>
        </w:rPr>
      </w:pPr>
      <w:r w:rsidRPr="00574B71">
        <w:rPr>
          <w:lang w:val="fr-CA"/>
        </w:rPr>
        <w:lastRenderedPageBreak/>
        <w:t>e)</w:t>
      </w:r>
      <w:r w:rsidRPr="00574B71">
        <w:rPr>
          <w:lang w:val="fr-CA"/>
        </w:rPr>
        <w:tab/>
        <w:t>l’évaluation du risque se fonde sur les caractéristiques actuelles de la personne, et non sur un risque perçu.</w:t>
      </w:r>
    </w:p>
    <w:p w14:paraId="4A6D3849" w14:textId="77777777" w:rsidR="00A54FB5" w:rsidRPr="00574B71" w:rsidRDefault="00A54FB5" w:rsidP="00A54FB5">
      <w:pPr>
        <w:pStyle w:val="ListParagraph"/>
        <w:numPr>
          <w:ilvl w:val="0"/>
          <w:numId w:val="5"/>
        </w:numPr>
        <w:spacing w:after="0"/>
        <w:rPr>
          <w:lang w:val="fr-CA"/>
        </w:rPr>
      </w:pPr>
      <w:r w:rsidRPr="00574B71">
        <w:rPr>
          <w:lang w:val="fr-CA"/>
        </w:rPr>
        <w:t>Lorsqu’une personne de soutien accompagne une personne handicapée à une activité présentée par l’ACSM, les frais de participation</w:t>
      </w:r>
      <w:r>
        <w:rPr>
          <w:lang w:val="fr-CA"/>
        </w:rPr>
        <w:t xml:space="preserve"> de la personne de soutien</w:t>
      </w:r>
      <w:r w:rsidRPr="00574B71">
        <w:rPr>
          <w:lang w:val="fr-CA"/>
        </w:rPr>
        <w:t xml:space="preserve"> seront établis à un prix juste ou</w:t>
      </w:r>
      <w:r>
        <w:rPr>
          <w:lang w:val="fr-CA"/>
        </w:rPr>
        <w:t xml:space="preserve"> seront</w:t>
      </w:r>
      <w:r w:rsidRPr="00574B71">
        <w:rPr>
          <w:lang w:val="fr-CA"/>
        </w:rPr>
        <w:t xml:space="preserve"> annulés. Ces frais seront précisés avant la tenue des activités.</w:t>
      </w:r>
    </w:p>
    <w:p w14:paraId="5B152A4D" w14:textId="77777777" w:rsidR="00A54FB5" w:rsidRPr="00574B71" w:rsidRDefault="00A54FB5" w:rsidP="00A54FB5">
      <w:pPr>
        <w:spacing w:after="0"/>
        <w:rPr>
          <w:lang w:val="fr-CA"/>
        </w:rPr>
      </w:pPr>
      <w:r w:rsidRPr="00574B71">
        <w:rPr>
          <w:lang w:val="fr-CA"/>
        </w:rPr>
        <w:t xml:space="preserve">  </w:t>
      </w:r>
    </w:p>
    <w:p w14:paraId="5604A762" w14:textId="77777777" w:rsidR="00A54FB5" w:rsidRPr="00C06B78" w:rsidRDefault="00A54FB5" w:rsidP="00C06B78">
      <w:pPr>
        <w:shd w:val="clear" w:color="auto" w:fill="D9D9D9" w:themeFill="background1" w:themeFillShade="D9"/>
        <w:jc w:val="center"/>
        <w:rPr>
          <w:rFonts w:cs="Arial"/>
          <w:b/>
          <w:szCs w:val="24"/>
        </w:rPr>
      </w:pPr>
      <w:r w:rsidRPr="00C06B78">
        <w:rPr>
          <w:rFonts w:cs="Arial"/>
          <w:b/>
          <w:szCs w:val="24"/>
        </w:rPr>
        <w:t>DOCUMENTS DE RÉFÉRENCE</w:t>
      </w:r>
    </w:p>
    <w:p w14:paraId="0B964B86" w14:textId="77777777" w:rsidR="00A54FB5" w:rsidRPr="00574B71" w:rsidRDefault="00A54FB5" w:rsidP="00A54FB5">
      <w:pPr>
        <w:spacing w:after="0"/>
        <w:jc w:val="center"/>
        <w:rPr>
          <w:b/>
          <w:bCs/>
          <w:sz w:val="16"/>
          <w:szCs w:val="14"/>
          <w:u w:val="single"/>
          <w:lang w:val="fr-CA"/>
        </w:rPr>
      </w:pPr>
    </w:p>
    <w:p w14:paraId="1FDBFCE4" w14:textId="77777777" w:rsidR="00A54FB5" w:rsidRPr="00574B71" w:rsidRDefault="00A54FB5" w:rsidP="00A54FB5">
      <w:pPr>
        <w:rPr>
          <w:lang w:val="fr-CA"/>
        </w:rPr>
      </w:pPr>
      <w:r w:rsidRPr="00574B71">
        <w:rPr>
          <w:lang w:val="fr-CA"/>
        </w:rPr>
        <w:t>RESPONSABLE : Directeur général / Directrice générale</w:t>
      </w:r>
    </w:p>
    <w:p w14:paraId="22A637DC" w14:textId="77777777" w:rsidR="008A0B0B" w:rsidRPr="00A54FB5" w:rsidRDefault="008A0B0B" w:rsidP="00A54FB5"/>
    <w:sectPr w:rsidR="008A0B0B" w:rsidRPr="00A54FB5" w:rsidSect="00C06B78">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C0969" w14:textId="77777777" w:rsidR="006B1CBB" w:rsidRDefault="006B1CBB" w:rsidP="006B1CBB">
      <w:pPr>
        <w:spacing w:after="0" w:line="240" w:lineRule="auto"/>
      </w:pPr>
      <w:r>
        <w:separator/>
      </w:r>
    </w:p>
  </w:endnote>
  <w:endnote w:type="continuationSeparator" w:id="0">
    <w:p w14:paraId="25C572AC" w14:textId="77777777" w:rsidR="006B1CBB" w:rsidRDefault="006B1CBB" w:rsidP="006B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B1CBB" w:rsidRPr="000A2186" w14:paraId="7E9815A0" w14:textId="77777777" w:rsidTr="00000391">
      <w:tc>
        <w:tcPr>
          <w:tcW w:w="918" w:type="dxa"/>
          <w:tcBorders>
            <w:top w:val="single" w:sz="4" w:space="0" w:color="auto"/>
            <w:right w:val="single" w:sz="4" w:space="0" w:color="auto"/>
          </w:tcBorders>
        </w:tcPr>
        <w:p w14:paraId="70B085BD" w14:textId="77777777" w:rsidR="006B1CBB" w:rsidRPr="000A2186" w:rsidRDefault="006B1CBB" w:rsidP="006B1CBB">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7115CE">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/1</w:t>
          </w:r>
        </w:p>
      </w:tc>
      <w:tc>
        <w:tcPr>
          <w:tcW w:w="7938" w:type="dxa"/>
          <w:tcBorders>
            <w:top w:val="single" w:sz="4" w:space="0" w:color="auto"/>
            <w:left w:val="single" w:sz="4" w:space="0" w:color="auto"/>
          </w:tcBorders>
        </w:tcPr>
        <w:p w14:paraId="3F07A1FD" w14:textId="77777777" w:rsidR="006B1CBB" w:rsidRPr="00CD1F31" w:rsidRDefault="006B1CBB" w:rsidP="006B1CBB">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Support Persons</w:t>
          </w:r>
          <w:r w:rsidRPr="00130FDD">
            <w:rPr>
              <w:rFonts w:cs="Arial"/>
              <w:color w:val="00B1B0"/>
              <w:sz w:val="12"/>
              <w:szCs w:val="12"/>
            </w:rPr>
            <w:t xml:space="preserve"> </w:t>
          </w:r>
        </w:p>
        <w:p w14:paraId="22DE4A58" w14:textId="77777777" w:rsidR="006B1CBB" w:rsidRPr="000A2186" w:rsidRDefault="006B1CBB" w:rsidP="006B1CBB">
          <w:pPr>
            <w:pStyle w:val="Footer"/>
            <w:spacing w:before="60"/>
            <w:jc w:val="right"/>
            <w:rPr>
              <w:rFonts w:cs="Arial"/>
              <w:color w:val="00B1B0"/>
              <w:sz w:val="14"/>
              <w:szCs w:val="14"/>
            </w:rPr>
          </w:pPr>
        </w:p>
        <w:p w14:paraId="44D6C6DE" w14:textId="77777777" w:rsidR="006B1CBB" w:rsidRPr="000A2186" w:rsidRDefault="006B1CBB" w:rsidP="006B1CBB">
          <w:pPr>
            <w:pStyle w:val="Footer"/>
            <w:spacing w:before="60"/>
            <w:rPr>
              <w:rFonts w:cs="Arial"/>
              <w:color w:val="00B1B0"/>
              <w:sz w:val="14"/>
              <w:szCs w:val="14"/>
            </w:rPr>
          </w:pPr>
        </w:p>
      </w:tc>
    </w:tr>
  </w:tbl>
  <w:p w14:paraId="4FAFC0BC" w14:textId="77777777" w:rsidR="006B1CBB" w:rsidRPr="006B1CBB" w:rsidRDefault="006B1C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2B0F" w14:textId="77777777" w:rsidR="006B1CBB" w:rsidRDefault="006B1CBB" w:rsidP="006B1CBB">
      <w:pPr>
        <w:spacing w:after="0" w:line="240" w:lineRule="auto"/>
      </w:pPr>
      <w:r>
        <w:separator/>
      </w:r>
    </w:p>
  </w:footnote>
  <w:footnote w:type="continuationSeparator" w:id="0">
    <w:p w14:paraId="5B450EBE" w14:textId="77777777" w:rsidR="006B1CBB" w:rsidRDefault="006B1CBB" w:rsidP="006B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7955AD2"/>
    <w:multiLevelType w:val="hybridMultilevel"/>
    <w:tmpl w:val="2E1C42BE"/>
    <w:lvl w:ilvl="0" w:tplc="EE32A5FE">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AFB43A5"/>
    <w:multiLevelType w:val="hybridMultilevel"/>
    <w:tmpl w:val="D0305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9030EA"/>
    <w:multiLevelType w:val="hybridMultilevel"/>
    <w:tmpl w:val="50C88846"/>
    <w:lvl w:ilvl="0" w:tplc="C1044CDC">
      <w:start w:val="1"/>
      <w:numFmt w:val="decimal"/>
      <w:lvlText w:val="%1."/>
      <w:lvlJc w:val="left"/>
      <w:pPr>
        <w:ind w:left="360" w:hanging="360"/>
      </w:pPr>
      <w:rPr>
        <w:rFonts w:hint="default"/>
      </w:rPr>
    </w:lvl>
    <w:lvl w:ilvl="1" w:tplc="7814170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975580F"/>
    <w:multiLevelType w:val="hybridMultilevel"/>
    <w:tmpl w:val="08A870C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975BD6"/>
    <w:multiLevelType w:val="hybridMultilevel"/>
    <w:tmpl w:val="65F49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5C"/>
    <w:rsid w:val="001B5A83"/>
    <w:rsid w:val="0036105C"/>
    <w:rsid w:val="006B1CBB"/>
    <w:rsid w:val="00877F95"/>
    <w:rsid w:val="008A0B0B"/>
    <w:rsid w:val="00A54FB5"/>
    <w:rsid w:val="00C06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70C"/>
  <w15:chartTrackingRefBased/>
  <w15:docId w15:val="{D3218BE8-59F8-4075-AE3B-3D2EC4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5C"/>
    <w:pPr>
      <w:ind w:left="720"/>
      <w:contextualSpacing/>
    </w:pPr>
  </w:style>
  <w:style w:type="paragraph" w:styleId="Header">
    <w:name w:val="header"/>
    <w:basedOn w:val="Normal"/>
    <w:link w:val="HeaderChar"/>
    <w:uiPriority w:val="99"/>
    <w:unhideWhenUsed/>
    <w:rsid w:val="006B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CBB"/>
    <w:rPr>
      <w:rFonts w:ascii="Arial" w:hAnsi="Arial"/>
      <w:sz w:val="24"/>
    </w:rPr>
  </w:style>
  <w:style w:type="paragraph" w:styleId="Footer">
    <w:name w:val="footer"/>
    <w:basedOn w:val="Normal"/>
    <w:link w:val="FooterChar"/>
    <w:uiPriority w:val="99"/>
    <w:unhideWhenUsed/>
    <w:rsid w:val="006B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CB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3</cp:revision>
  <dcterms:created xsi:type="dcterms:W3CDTF">2021-09-16T17:55:00Z</dcterms:created>
  <dcterms:modified xsi:type="dcterms:W3CDTF">2021-09-16T18:46:00Z</dcterms:modified>
</cp:coreProperties>
</file>