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693847" w:rsidRPr="007A0261" w14:paraId="79E44BF4" w14:textId="77777777" w:rsidTr="00A323B6">
        <w:tc>
          <w:tcPr>
            <w:tcW w:w="4430" w:type="dxa"/>
            <w:tcBorders>
              <w:top w:val="nil"/>
              <w:left w:val="nil"/>
            </w:tcBorders>
          </w:tcPr>
          <w:p w14:paraId="002C1F5C" w14:textId="77777777" w:rsidR="00693847" w:rsidRPr="007A0261" w:rsidRDefault="00693847" w:rsidP="00A323B6">
            <w:pPr>
              <w:rPr>
                <w:rFonts w:cs="Arial"/>
                <w:b/>
                <w:szCs w:val="24"/>
              </w:rPr>
            </w:pPr>
            <w:r w:rsidRPr="007A0261">
              <w:rPr>
                <w:rFonts w:cs="Arial"/>
                <w:b/>
                <w:noProof/>
                <w:szCs w:val="24"/>
                <w:lang w:eastAsia="en-CA"/>
              </w:rPr>
              <w:drawing>
                <wp:inline distT="0" distB="0" distL="0" distR="0" wp14:anchorId="595C2BC6" wp14:editId="40083B66">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37BBC033" w14:textId="77777777" w:rsidR="00693847" w:rsidRPr="007A0261" w:rsidRDefault="00693847" w:rsidP="00A323B6">
            <w:pPr>
              <w:rPr>
                <w:rFonts w:cs="Arial"/>
                <w:b/>
                <w:szCs w:val="24"/>
              </w:rPr>
            </w:pPr>
          </w:p>
        </w:tc>
        <w:tc>
          <w:tcPr>
            <w:tcW w:w="6593" w:type="dxa"/>
            <w:gridSpan w:val="2"/>
          </w:tcPr>
          <w:p w14:paraId="38C92BB6" w14:textId="77777777" w:rsidR="00693847" w:rsidRPr="007A0261" w:rsidRDefault="00693847" w:rsidP="00A323B6">
            <w:pPr>
              <w:jc w:val="right"/>
              <w:rPr>
                <w:rFonts w:cs="Arial"/>
                <w:szCs w:val="24"/>
              </w:rPr>
            </w:pPr>
          </w:p>
          <w:p w14:paraId="72A3A81D" w14:textId="77777777" w:rsidR="00693847" w:rsidRPr="00574B71" w:rsidRDefault="00693847" w:rsidP="00693847">
            <w:pPr>
              <w:jc w:val="right"/>
              <w:rPr>
                <w:b/>
                <w:bCs/>
                <w:lang w:val="fr-CA"/>
              </w:rPr>
            </w:pPr>
            <w:r w:rsidRPr="00574B71">
              <w:rPr>
                <w:b/>
                <w:bCs/>
                <w:lang w:val="fr-CA"/>
              </w:rPr>
              <w:t>POLITIQUES DES EMPLOYÉS</w:t>
            </w:r>
          </w:p>
          <w:p w14:paraId="0B7558E0" w14:textId="77777777" w:rsidR="00693847" w:rsidRPr="00574B71" w:rsidRDefault="00693847" w:rsidP="00693847">
            <w:pPr>
              <w:jc w:val="right"/>
              <w:rPr>
                <w:lang w:val="fr-CA"/>
              </w:rPr>
            </w:pPr>
            <w:r w:rsidRPr="00574B71">
              <w:rPr>
                <w:lang w:val="fr-CA"/>
              </w:rPr>
              <w:t xml:space="preserve">Catégorie : </w:t>
            </w:r>
            <w:r w:rsidRPr="00574B71">
              <w:rPr>
                <w:b/>
                <w:bCs/>
                <w:lang w:val="fr-CA"/>
              </w:rPr>
              <w:t>Accessibilité</w:t>
            </w:r>
            <w:r w:rsidRPr="00574B71">
              <w:rPr>
                <w:lang w:val="fr-CA"/>
              </w:rPr>
              <w:t xml:space="preserve"> </w:t>
            </w:r>
          </w:p>
          <w:p w14:paraId="1CAED313" w14:textId="617578AE" w:rsidR="00693847" w:rsidRPr="007A0261" w:rsidRDefault="00693847" w:rsidP="00A323B6">
            <w:pPr>
              <w:jc w:val="right"/>
              <w:rPr>
                <w:rFonts w:cs="Arial"/>
                <w:b/>
                <w:szCs w:val="24"/>
              </w:rPr>
            </w:pPr>
          </w:p>
        </w:tc>
      </w:tr>
      <w:tr w:rsidR="00693847" w:rsidRPr="007A0261" w14:paraId="3B1D463C" w14:textId="77777777" w:rsidTr="00A323B6">
        <w:tc>
          <w:tcPr>
            <w:tcW w:w="4430" w:type="dxa"/>
          </w:tcPr>
          <w:p w14:paraId="4642B77E" w14:textId="77777777" w:rsidR="00693847" w:rsidRPr="007A0261" w:rsidRDefault="00693847" w:rsidP="00A323B6">
            <w:pPr>
              <w:rPr>
                <w:rFonts w:cs="Arial"/>
                <w:szCs w:val="24"/>
              </w:rPr>
            </w:pPr>
          </w:p>
          <w:p w14:paraId="31D49EA9" w14:textId="77777777" w:rsidR="00693847" w:rsidRPr="00574B71" w:rsidRDefault="00693847" w:rsidP="00693847">
            <w:pPr>
              <w:rPr>
                <w:lang w:val="fr-CA"/>
              </w:rPr>
            </w:pPr>
            <w:r w:rsidRPr="00574B71">
              <w:rPr>
                <w:b/>
                <w:bCs/>
                <w:lang w:val="fr-CA"/>
              </w:rPr>
              <w:t>Mise en œuvre :</w:t>
            </w:r>
            <w:r w:rsidRPr="00574B71">
              <w:rPr>
                <w:lang w:val="fr-CA"/>
              </w:rPr>
              <w:t xml:space="preserve"> 1</w:t>
            </w:r>
            <w:r w:rsidRPr="00574B71">
              <w:rPr>
                <w:vertAlign w:val="superscript"/>
                <w:lang w:val="fr-CA"/>
              </w:rPr>
              <w:t>er</w:t>
            </w:r>
            <w:r w:rsidRPr="00574B71">
              <w:rPr>
                <w:lang w:val="fr-CA"/>
              </w:rPr>
              <w:t xml:space="preserve"> septembre 2013 </w:t>
            </w:r>
          </w:p>
          <w:p w14:paraId="1E8586BF" w14:textId="44D78D8A" w:rsidR="00693847" w:rsidRPr="007A0261" w:rsidRDefault="00693847" w:rsidP="00693847">
            <w:pPr>
              <w:rPr>
                <w:rFonts w:cs="Arial"/>
                <w:szCs w:val="24"/>
              </w:rPr>
            </w:pPr>
            <w:r w:rsidRPr="00574B71">
              <w:rPr>
                <w:b/>
                <w:bCs/>
                <w:lang w:val="fr-CA"/>
              </w:rPr>
              <w:t>Revue / Révisée / Approuvée :</w:t>
            </w:r>
            <w:r w:rsidRPr="00574B71">
              <w:rPr>
                <w:lang w:val="fr-CA"/>
              </w:rPr>
              <w:t xml:space="preserve"> 25 août 2016</w:t>
            </w:r>
          </w:p>
        </w:tc>
        <w:tc>
          <w:tcPr>
            <w:tcW w:w="1915" w:type="dxa"/>
          </w:tcPr>
          <w:p w14:paraId="038F0CB5" w14:textId="77777777" w:rsidR="00693847" w:rsidRPr="007A0261" w:rsidRDefault="00693847" w:rsidP="00A323B6">
            <w:pPr>
              <w:rPr>
                <w:rFonts w:cs="Arial"/>
                <w:szCs w:val="24"/>
              </w:rPr>
            </w:pPr>
          </w:p>
          <w:p w14:paraId="49362C5D" w14:textId="77777777" w:rsidR="00693847" w:rsidRPr="00574B71" w:rsidRDefault="00693847" w:rsidP="00693847">
            <w:pPr>
              <w:rPr>
                <w:lang w:val="fr-CA"/>
              </w:rPr>
            </w:pPr>
            <w:r w:rsidRPr="00574B71">
              <w:rPr>
                <w:lang w:val="fr-CA"/>
              </w:rPr>
              <w:t>Numéro :</w:t>
            </w:r>
          </w:p>
          <w:p w14:paraId="3A17BE1E" w14:textId="77777777" w:rsidR="00693847" w:rsidRPr="007A0261" w:rsidRDefault="00693847" w:rsidP="00A323B6">
            <w:pPr>
              <w:rPr>
                <w:rFonts w:cs="Arial"/>
                <w:b/>
                <w:szCs w:val="24"/>
              </w:rPr>
            </w:pPr>
            <w:r w:rsidRPr="007A0261">
              <w:rPr>
                <w:rFonts w:cs="Arial"/>
                <w:szCs w:val="24"/>
              </w:rPr>
              <w:t>AL-AC-C0004</w:t>
            </w:r>
          </w:p>
        </w:tc>
        <w:tc>
          <w:tcPr>
            <w:tcW w:w="4678" w:type="dxa"/>
            <w:shd w:val="clear" w:color="auto" w:fill="D9D9D9" w:themeFill="background1" w:themeFillShade="D9"/>
          </w:tcPr>
          <w:p w14:paraId="3BE567F4" w14:textId="77777777" w:rsidR="00693847" w:rsidRPr="007A0261" w:rsidRDefault="00693847" w:rsidP="00A323B6">
            <w:pPr>
              <w:jc w:val="right"/>
              <w:rPr>
                <w:rFonts w:cs="Arial"/>
                <w:b/>
                <w:szCs w:val="24"/>
              </w:rPr>
            </w:pPr>
          </w:p>
          <w:p w14:paraId="0FB558D3" w14:textId="50841D5E" w:rsidR="00693847" w:rsidRPr="007A0261" w:rsidRDefault="00693847" w:rsidP="00A323B6">
            <w:pPr>
              <w:jc w:val="right"/>
              <w:rPr>
                <w:rFonts w:cs="Arial"/>
                <w:b/>
                <w:szCs w:val="24"/>
              </w:rPr>
            </w:pPr>
            <w:r w:rsidRPr="00574B71">
              <w:rPr>
                <w:b/>
                <w:bCs/>
                <w:lang w:val="fr-CA"/>
              </w:rPr>
              <w:t>ACCESSIBILITÉ DES SERVICES À LA CLIENTÈLE – ANIMAUX D’ASSISTANCE</w:t>
            </w:r>
            <w:r w:rsidRPr="007A0261">
              <w:rPr>
                <w:rFonts w:cs="Arial"/>
                <w:b/>
                <w:szCs w:val="24"/>
              </w:rPr>
              <w:t xml:space="preserve"> </w:t>
            </w:r>
          </w:p>
        </w:tc>
      </w:tr>
    </w:tbl>
    <w:p w14:paraId="7B881B23" w14:textId="763379A9" w:rsidR="001B5A83" w:rsidRPr="00574B71" w:rsidRDefault="001B5A83" w:rsidP="00902F28">
      <w:pPr>
        <w:rPr>
          <w:lang w:val="fr-CA"/>
        </w:rPr>
      </w:pPr>
    </w:p>
    <w:p w14:paraId="2F85FAA9" w14:textId="77777777" w:rsidR="001B5A83" w:rsidRPr="00902F28" w:rsidRDefault="001B5A83" w:rsidP="00902F28">
      <w:pPr>
        <w:shd w:val="clear" w:color="auto" w:fill="D9D9D9" w:themeFill="background1" w:themeFillShade="D9"/>
        <w:jc w:val="center"/>
        <w:rPr>
          <w:rFonts w:cs="Arial"/>
          <w:b/>
          <w:szCs w:val="24"/>
        </w:rPr>
      </w:pPr>
      <w:r w:rsidRPr="00902F28">
        <w:rPr>
          <w:rFonts w:cs="Arial"/>
          <w:b/>
          <w:szCs w:val="24"/>
        </w:rPr>
        <w:t>POLITIQUE</w:t>
      </w:r>
    </w:p>
    <w:p w14:paraId="41EE036E" w14:textId="77777777" w:rsidR="001B5A83" w:rsidRPr="00574B71" w:rsidRDefault="001B5A83" w:rsidP="001B5A83">
      <w:pPr>
        <w:rPr>
          <w:lang w:val="fr-CA"/>
        </w:rPr>
      </w:pPr>
      <w:r w:rsidRPr="00574B71">
        <w:rPr>
          <w:lang w:val="fr-CA"/>
        </w:rPr>
        <w:t xml:space="preserve">Nous avons pour engagement d’accueillir les personnes handicapées qui sont accompagnées d’un animal d’assistance dans les espaces qui sont ouverts au public et aux tierces parties. Nous </w:t>
      </w:r>
      <w:r>
        <w:rPr>
          <w:lang w:val="fr-CA"/>
        </w:rPr>
        <w:t xml:space="preserve">nous </w:t>
      </w:r>
      <w:r w:rsidRPr="00574B71">
        <w:rPr>
          <w:lang w:val="fr-CA"/>
        </w:rPr>
        <w:t>assurerons</w:t>
      </w:r>
      <w:r>
        <w:rPr>
          <w:lang w:val="fr-CA"/>
        </w:rPr>
        <w:t xml:space="preserve"> aussi</w:t>
      </w:r>
      <w:r w:rsidRPr="00574B71">
        <w:rPr>
          <w:lang w:val="fr-CA"/>
        </w:rPr>
        <w:t xml:space="preserve"> que tous les employés, bénévoles et autres personnes qui travaillent avec le public reçoivent une formation sur la manière d’interagir avec les personnes handicapées qui sont accompagnées d’un animal d’assistance.</w:t>
      </w:r>
    </w:p>
    <w:p w14:paraId="63066B3A" w14:textId="77777777" w:rsidR="001B5A83" w:rsidRPr="00574B71" w:rsidRDefault="001B5A83" w:rsidP="001B5A83">
      <w:pPr>
        <w:rPr>
          <w:lang w:val="fr-CA"/>
        </w:rPr>
      </w:pPr>
      <w:r w:rsidRPr="00574B71">
        <w:rPr>
          <w:b/>
          <w:bCs/>
          <w:lang w:val="fr-CA"/>
        </w:rPr>
        <w:t>Définition :</w:t>
      </w:r>
      <w:r w:rsidRPr="00574B71">
        <w:rPr>
          <w:lang w:val="fr-CA"/>
        </w:rPr>
        <w:t xml:space="preserve"> </w:t>
      </w:r>
    </w:p>
    <w:p w14:paraId="084C68DD" w14:textId="77777777" w:rsidR="001B5A83" w:rsidRPr="00574B71" w:rsidRDefault="001B5A83" w:rsidP="001B5A83">
      <w:pPr>
        <w:rPr>
          <w:u w:val="single"/>
          <w:lang w:val="fr-CA"/>
        </w:rPr>
      </w:pPr>
      <w:r w:rsidRPr="00574B71">
        <w:rPr>
          <w:u w:val="single"/>
          <w:lang w:val="fr-CA"/>
        </w:rPr>
        <w:t xml:space="preserve">Animal d’assistance </w:t>
      </w:r>
    </w:p>
    <w:p w14:paraId="765FA320" w14:textId="77777777" w:rsidR="001B5A83" w:rsidRPr="00574B71" w:rsidRDefault="001B5A83" w:rsidP="001B5A83">
      <w:pPr>
        <w:rPr>
          <w:lang w:val="fr-CA"/>
        </w:rPr>
      </w:pPr>
      <w:r w:rsidRPr="00574B71">
        <w:rPr>
          <w:lang w:val="fr-CA"/>
        </w:rPr>
        <w:t>Pour les besoins de la présente politique, s’entend d’un « animal d’assistance » :</w:t>
      </w:r>
    </w:p>
    <w:p w14:paraId="4E01EF58" w14:textId="77777777" w:rsidR="001B5A83" w:rsidRPr="00574B71" w:rsidRDefault="001B5A83" w:rsidP="001B5A83">
      <w:pPr>
        <w:pStyle w:val="ListParagraph"/>
        <w:numPr>
          <w:ilvl w:val="0"/>
          <w:numId w:val="3"/>
        </w:numPr>
        <w:spacing w:after="0"/>
        <w:rPr>
          <w:lang w:val="fr-CA"/>
        </w:rPr>
      </w:pPr>
      <w:proofErr w:type="gramStart"/>
      <w:r w:rsidRPr="00574B71">
        <w:rPr>
          <w:lang w:val="fr-CA"/>
        </w:rPr>
        <w:t>un</w:t>
      </w:r>
      <w:proofErr w:type="gramEnd"/>
      <w:r w:rsidRPr="00574B71">
        <w:rPr>
          <w:lang w:val="fr-CA"/>
        </w:rPr>
        <w:t xml:space="preserve"> « chien d’aveugle » (ou chien-guide), tel que défini à l’article 1 de la </w:t>
      </w:r>
      <w:r w:rsidRPr="00574B71">
        <w:rPr>
          <w:i/>
          <w:lang w:val="fr-CA"/>
        </w:rPr>
        <w:t>Loi sur les droits des aveugles</w:t>
      </w:r>
      <w:r w:rsidRPr="00574B71">
        <w:rPr>
          <w:lang w:val="fr-CA"/>
        </w:rPr>
        <w:t xml:space="preserve">; ou </w:t>
      </w:r>
    </w:p>
    <w:p w14:paraId="3B47F263" w14:textId="77777777" w:rsidR="001B5A83" w:rsidRPr="00574B71" w:rsidRDefault="001B5A83" w:rsidP="001B5A83">
      <w:pPr>
        <w:pStyle w:val="ListParagraph"/>
        <w:numPr>
          <w:ilvl w:val="0"/>
          <w:numId w:val="3"/>
        </w:numPr>
        <w:spacing w:after="0"/>
        <w:rPr>
          <w:lang w:val="fr-CA"/>
        </w:rPr>
      </w:pPr>
      <w:proofErr w:type="gramStart"/>
      <w:r w:rsidRPr="00574B71">
        <w:rPr>
          <w:lang w:val="fr-CA"/>
        </w:rPr>
        <w:t>un</w:t>
      </w:r>
      <w:proofErr w:type="gramEnd"/>
      <w:r w:rsidRPr="00574B71">
        <w:rPr>
          <w:lang w:val="fr-CA"/>
        </w:rPr>
        <w:t xml:space="preserve"> « animal d’assistance » pour une personne handicapée. Pour les besoins de la présente politique, un animal est considéré comme étant un « animal d’assistance » pour une personne handicapée : </w:t>
      </w:r>
    </w:p>
    <w:p w14:paraId="522A9DA0" w14:textId="77777777" w:rsidR="001B5A83" w:rsidRPr="00574B71" w:rsidRDefault="001B5A83" w:rsidP="001B5A83">
      <w:pPr>
        <w:pStyle w:val="ListParagraph"/>
        <w:numPr>
          <w:ilvl w:val="0"/>
          <w:numId w:val="4"/>
        </w:numPr>
        <w:spacing w:after="0"/>
        <w:rPr>
          <w:lang w:val="fr-CA"/>
        </w:rPr>
      </w:pPr>
      <w:proofErr w:type="gramStart"/>
      <w:r w:rsidRPr="00574B71">
        <w:rPr>
          <w:lang w:val="fr-CA"/>
        </w:rPr>
        <w:t>s’il</w:t>
      </w:r>
      <w:proofErr w:type="gramEnd"/>
      <w:r w:rsidRPr="00574B71">
        <w:rPr>
          <w:lang w:val="fr-CA"/>
        </w:rPr>
        <w:t xml:space="preserve"> peut facilement être identifié en tant qu’animal utilisé par une personne pour des raisons liées à son handicap; ou  </w:t>
      </w:r>
    </w:p>
    <w:p w14:paraId="47EDDEE9" w14:textId="77777777" w:rsidR="001B5A83" w:rsidRPr="00574B71" w:rsidRDefault="001B5A83" w:rsidP="001B5A83">
      <w:pPr>
        <w:pStyle w:val="ListParagraph"/>
        <w:numPr>
          <w:ilvl w:val="0"/>
          <w:numId w:val="4"/>
        </w:numPr>
        <w:spacing w:after="0"/>
        <w:rPr>
          <w:lang w:val="fr-CA"/>
        </w:rPr>
      </w:pPr>
      <w:proofErr w:type="gramStart"/>
      <w:r w:rsidRPr="00574B71">
        <w:rPr>
          <w:lang w:val="fr-CA"/>
        </w:rPr>
        <w:t>si</w:t>
      </w:r>
      <w:proofErr w:type="gramEnd"/>
      <w:r w:rsidRPr="00574B71">
        <w:rPr>
          <w:lang w:val="fr-CA"/>
        </w:rPr>
        <w:t xml:space="preserve"> la personne peut fournir une lettre d’un professionnel de la santé réglementé confirmant que cette personne a besoin de l’animal pour des raisons liées à son handicap.</w:t>
      </w:r>
    </w:p>
    <w:p w14:paraId="0B8D7E0B" w14:textId="77777777" w:rsidR="001B5A83" w:rsidRPr="00574B71" w:rsidRDefault="001B5A83" w:rsidP="001B5A83">
      <w:pPr>
        <w:spacing w:after="0"/>
        <w:rPr>
          <w:lang w:val="fr-CA"/>
        </w:rPr>
      </w:pPr>
      <w:r w:rsidRPr="00574B71">
        <w:rPr>
          <w:lang w:val="fr-CA"/>
        </w:rPr>
        <w:t xml:space="preserve"> </w:t>
      </w:r>
    </w:p>
    <w:p w14:paraId="4E2926F7" w14:textId="77777777" w:rsidR="001B5A83" w:rsidRPr="00902F28" w:rsidRDefault="001B5A83" w:rsidP="00902F28">
      <w:pPr>
        <w:shd w:val="clear" w:color="auto" w:fill="D9D9D9" w:themeFill="background1" w:themeFillShade="D9"/>
        <w:jc w:val="center"/>
        <w:rPr>
          <w:rFonts w:cs="Arial"/>
          <w:b/>
          <w:szCs w:val="24"/>
        </w:rPr>
      </w:pPr>
      <w:r w:rsidRPr="00902F28">
        <w:rPr>
          <w:rFonts w:cs="Arial"/>
          <w:b/>
          <w:szCs w:val="24"/>
        </w:rPr>
        <w:t>PROCÉDURE</w:t>
      </w:r>
    </w:p>
    <w:p w14:paraId="1BC8A9B3" w14:textId="77777777" w:rsidR="001B5A83" w:rsidRPr="00574B71" w:rsidRDefault="001B5A83" w:rsidP="001B5A83">
      <w:pPr>
        <w:rPr>
          <w:lang w:val="fr-CA"/>
        </w:rPr>
      </w:pPr>
      <w:r w:rsidRPr="00574B71">
        <w:rPr>
          <w:rFonts w:cs="Arial"/>
          <w:szCs w:val="24"/>
          <w:lang w:val="fr-CA"/>
        </w:rPr>
        <w:t xml:space="preserve">L’Association canadienne pour la santé mentale (ACSM) </w:t>
      </w:r>
      <w:r w:rsidRPr="00574B71">
        <w:rPr>
          <w:lang w:val="fr-CA"/>
        </w:rPr>
        <w:t>vise l’excellence dans les services qu’elle procure à toutes les personnes, y compris les personnes handicapées. À cet effet, elle assumera toutes ses fonctions et ses responsabilités dans les domaines suivants :</w:t>
      </w:r>
    </w:p>
    <w:p w14:paraId="7C22F4F1" w14:textId="77777777" w:rsidR="001B5A83" w:rsidRPr="00574B71" w:rsidRDefault="001B5A83" w:rsidP="001B5A83">
      <w:pPr>
        <w:rPr>
          <w:b/>
          <w:bCs/>
          <w:lang w:val="fr-CA"/>
        </w:rPr>
      </w:pPr>
      <w:r w:rsidRPr="00574B71">
        <w:rPr>
          <w:b/>
          <w:bCs/>
          <w:lang w:val="fr-CA"/>
        </w:rPr>
        <w:t xml:space="preserve">Animaux d’assistance : </w:t>
      </w:r>
    </w:p>
    <w:p w14:paraId="641BB53D" w14:textId="77777777" w:rsidR="001B5A83" w:rsidRPr="00574B71" w:rsidRDefault="001B5A83" w:rsidP="001B5A83">
      <w:pPr>
        <w:pStyle w:val="ListParagraph"/>
        <w:numPr>
          <w:ilvl w:val="0"/>
          <w:numId w:val="2"/>
        </w:numPr>
        <w:rPr>
          <w:lang w:val="fr-CA"/>
        </w:rPr>
      </w:pPr>
      <w:r w:rsidRPr="00574B71">
        <w:rPr>
          <w:lang w:val="fr-CA"/>
        </w:rPr>
        <w:t xml:space="preserve">L’ACSM reconnaît la relation vitale et la dépendance qui existent entre une personne handicapée et son animal d’assistance. L’ACSM a pour engagement d’accueillir les personnes handicapées qui sont accompagnées d’un animal d’assistance dans les espaces qui sont ouverts au public et aux tierces parties. Si l’animal ne peut pas facilement être identifié en tant qu’animal utilisé par une personne pour des raisons liées à son handicap, nous pourrions demander à cette personne de fournir une lettre d’un professionnel de la santé réglementé confirmant qu’elle a besoin de l’animal pour des raisons liées à son handicap. Si cette personne ne peut pas présenter une telle lettre sur demande, le personnel est autorisé à refuser que l’animal pénètre les lieux jusqu’à ce qu’une telle lettre soit disponible. </w:t>
      </w:r>
      <w:r>
        <w:rPr>
          <w:lang w:val="fr-CA"/>
        </w:rPr>
        <w:t>Cependant, l</w:t>
      </w:r>
      <w:r w:rsidRPr="00574B71">
        <w:rPr>
          <w:lang w:val="fr-CA"/>
        </w:rPr>
        <w:t xml:space="preserve">e personnel doit faire montre de discrétion sur cette </w:t>
      </w:r>
      <w:r w:rsidRPr="00574B71">
        <w:rPr>
          <w:lang w:val="fr-CA"/>
        </w:rPr>
        <w:lastRenderedPageBreak/>
        <w:t>question et reconnaître que les visiteurs ne connaissent peut-être pas les politiques de l’immeuble.</w:t>
      </w:r>
    </w:p>
    <w:p w14:paraId="1604D063" w14:textId="77777777" w:rsidR="001B5A83" w:rsidRPr="00574B71" w:rsidRDefault="001B5A83" w:rsidP="001B5A83">
      <w:pPr>
        <w:pStyle w:val="ListParagraph"/>
        <w:numPr>
          <w:ilvl w:val="0"/>
          <w:numId w:val="2"/>
        </w:numPr>
        <w:spacing w:before="60"/>
        <w:rPr>
          <w:lang w:val="fr-CA"/>
        </w:rPr>
      </w:pPr>
      <w:r w:rsidRPr="00574B71">
        <w:rPr>
          <w:lang w:val="fr-CA"/>
        </w:rPr>
        <w:t xml:space="preserve">Le personnel autorisera les personnes handicapées qui sont accompagnées d’un animal d’assistance à pénétrer les lieux et à garder leur animal d’assistance avec elles dans tous les espaces qui sont ouverts au public et où leur entrée n’est pas interdite par une loi. Cela comprend les aires communes, comme le hall d’entrée, les couloirs, la buanderie, les installations récréatives intérieures et extérieures, le bureau, les aires de repas communes, les salles de réunion, etc. Les animaux d’assistance sont interdits dans les espaces où l’on prépare la nourriture et dans tout autre espace où leur entrée est interdite par une loi. </w:t>
      </w:r>
    </w:p>
    <w:p w14:paraId="51BB16AB" w14:textId="77777777" w:rsidR="001B5A83" w:rsidRPr="00574B71" w:rsidRDefault="001B5A83" w:rsidP="001B5A83">
      <w:pPr>
        <w:pStyle w:val="ListParagraph"/>
        <w:numPr>
          <w:ilvl w:val="0"/>
          <w:numId w:val="2"/>
        </w:numPr>
        <w:spacing w:before="60"/>
        <w:rPr>
          <w:lang w:val="fr-CA"/>
        </w:rPr>
      </w:pPr>
      <w:r w:rsidRPr="00574B71">
        <w:rPr>
          <w:lang w:val="fr-CA"/>
        </w:rPr>
        <w:t xml:space="preserve">Les personnes qui sont accompagnées d’un animal d’assistance seront autorisées à pénétrer les lieux avec l’animal et à garder l’animal avec elles en tout temps, à moins qu’une loi interdise l’animal sur les lieux. </w:t>
      </w:r>
    </w:p>
    <w:p w14:paraId="11617A83" w14:textId="77777777" w:rsidR="001B5A83" w:rsidRPr="00574B71" w:rsidRDefault="001B5A83" w:rsidP="001B5A83">
      <w:pPr>
        <w:pStyle w:val="ListParagraph"/>
        <w:numPr>
          <w:ilvl w:val="0"/>
          <w:numId w:val="2"/>
        </w:numPr>
        <w:rPr>
          <w:lang w:val="fr-CA"/>
        </w:rPr>
      </w:pPr>
      <w:r w:rsidRPr="00574B71">
        <w:rPr>
          <w:lang w:val="fr-CA"/>
        </w:rPr>
        <w:t>La personne est responsable des soins, de la supervision et du contrôle de l’animal</w:t>
      </w:r>
      <w:r>
        <w:rPr>
          <w:lang w:val="fr-CA"/>
        </w:rPr>
        <w:t xml:space="preserve"> d’assistance</w:t>
      </w:r>
      <w:r w:rsidRPr="00574B71">
        <w:rPr>
          <w:lang w:val="fr-CA"/>
        </w:rPr>
        <w:t xml:space="preserve"> sur les lieux.</w:t>
      </w:r>
    </w:p>
    <w:p w14:paraId="63A5A5A4" w14:textId="77777777" w:rsidR="001B5A83" w:rsidRPr="00574B71" w:rsidRDefault="001B5A83" w:rsidP="001B5A83">
      <w:pPr>
        <w:pStyle w:val="ListParagraph"/>
        <w:numPr>
          <w:ilvl w:val="0"/>
          <w:numId w:val="2"/>
        </w:numPr>
        <w:rPr>
          <w:lang w:val="fr-CA"/>
        </w:rPr>
      </w:pPr>
      <w:r w:rsidRPr="00574B71">
        <w:rPr>
          <w:lang w:val="fr-CA"/>
        </w:rPr>
        <w:t xml:space="preserve">Il est interdit à toute personne de toucher un animal d’assistance sans d’abord obtenir une autorisation à cet effet et de parler à un animal d’assistance pendant que celui-ci travaille. </w:t>
      </w:r>
    </w:p>
    <w:p w14:paraId="64D06B4E" w14:textId="77777777" w:rsidR="001B5A83" w:rsidRPr="00574B71" w:rsidRDefault="001B5A83" w:rsidP="001B5A83">
      <w:pPr>
        <w:pStyle w:val="ListParagraph"/>
        <w:numPr>
          <w:ilvl w:val="0"/>
          <w:numId w:val="2"/>
        </w:numPr>
        <w:rPr>
          <w:lang w:val="fr-CA"/>
        </w:rPr>
      </w:pPr>
      <w:r w:rsidRPr="00574B71">
        <w:rPr>
          <w:lang w:val="fr-CA"/>
        </w:rPr>
        <w:t xml:space="preserve">Le personnel informera les personnes qui ont recours à un animal d’assistance des endroits où l’animal peut faire ses besoins et leur communiquera la politique qui stipule qu’elles sont responsables de la supervision et des soins de leur animal d’assistance. </w:t>
      </w:r>
    </w:p>
    <w:p w14:paraId="2AB16A4D" w14:textId="77777777" w:rsidR="001B5A83" w:rsidRPr="00574B71" w:rsidRDefault="001B5A83" w:rsidP="001B5A83">
      <w:pPr>
        <w:pStyle w:val="ListParagraph"/>
        <w:numPr>
          <w:ilvl w:val="0"/>
          <w:numId w:val="2"/>
        </w:numPr>
        <w:rPr>
          <w:lang w:val="fr-CA"/>
        </w:rPr>
      </w:pPr>
      <w:r>
        <w:rPr>
          <w:lang w:val="fr-CA"/>
        </w:rPr>
        <w:t>Le personnel</w:t>
      </w:r>
      <w:r w:rsidRPr="00574B71">
        <w:rPr>
          <w:lang w:val="fr-CA"/>
        </w:rPr>
        <w:t xml:space="preserve">, les bénévoles et les entrepreneurs recevront une formation sur les règles et les règlements relatifs aux animaux d’assistance afin qu’ils soient en mesure de répondre aux questions des autres locataires d’une manière informée et précise, s’il y a lieu. </w:t>
      </w:r>
    </w:p>
    <w:p w14:paraId="7347D314" w14:textId="77777777" w:rsidR="001B5A83" w:rsidRPr="00902F28" w:rsidRDefault="001B5A83" w:rsidP="00902F28">
      <w:pPr>
        <w:shd w:val="clear" w:color="auto" w:fill="D9D9D9" w:themeFill="background1" w:themeFillShade="D9"/>
        <w:jc w:val="center"/>
        <w:rPr>
          <w:rFonts w:cs="Arial"/>
          <w:b/>
          <w:szCs w:val="24"/>
        </w:rPr>
      </w:pPr>
      <w:r w:rsidRPr="00902F28">
        <w:rPr>
          <w:rFonts w:cs="Arial"/>
          <w:b/>
          <w:szCs w:val="24"/>
        </w:rPr>
        <w:t>DOCUMENTS DE RÉFÉRENCE</w:t>
      </w:r>
    </w:p>
    <w:p w14:paraId="25798E91" w14:textId="77777777" w:rsidR="001B5A83" w:rsidRPr="00574B71" w:rsidRDefault="001B5A83" w:rsidP="001B5A83">
      <w:pPr>
        <w:rPr>
          <w:lang w:val="fr-CA"/>
        </w:rPr>
      </w:pPr>
      <w:r w:rsidRPr="00574B71">
        <w:rPr>
          <w:lang w:val="fr-CA"/>
        </w:rPr>
        <w:t xml:space="preserve"> </w:t>
      </w:r>
    </w:p>
    <w:p w14:paraId="435F2485" w14:textId="77777777" w:rsidR="001B5A83" w:rsidRPr="00574B71" w:rsidRDefault="001B5A83" w:rsidP="001B5A83">
      <w:pPr>
        <w:rPr>
          <w:lang w:val="fr-CA"/>
        </w:rPr>
      </w:pPr>
      <w:r w:rsidRPr="00574B71">
        <w:rPr>
          <w:lang w:val="fr-CA"/>
        </w:rPr>
        <w:t>RESPONSABLE : Directeur général / Directrice générale</w:t>
      </w:r>
    </w:p>
    <w:p w14:paraId="3408E5F9" w14:textId="77777777" w:rsidR="001B5A83" w:rsidRPr="00574B71" w:rsidRDefault="001B5A83" w:rsidP="001B5A83">
      <w:pPr>
        <w:rPr>
          <w:lang w:val="fr-CA"/>
        </w:rPr>
      </w:pPr>
    </w:p>
    <w:p w14:paraId="22A637DC" w14:textId="77777777" w:rsidR="008A0B0B" w:rsidRPr="001B5A83" w:rsidRDefault="008A0B0B" w:rsidP="001B5A83"/>
    <w:sectPr w:rsidR="008A0B0B" w:rsidRPr="001B5A83" w:rsidSect="00693847">
      <w:footerReference w:type="default" r:id="rId9"/>
      <w:pgSz w:w="12240" w:h="15840" w:code="1"/>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7994C" w14:textId="77777777" w:rsidR="00693847" w:rsidRDefault="00693847" w:rsidP="00693847">
      <w:pPr>
        <w:spacing w:after="0" w:line="240" w:lineRule="auto"/>
      </w:pPr>
      <w:r>
        <w:separator/>
      </w:r>
    </w:p>
  </w:endnote>
  <w:endnote w:type="continuationSeparator" w:id="0">
    <w:p w14:paraId="37E3FFF0" w14:textId="77777777" w:rsidR="00693847" w:rsidRDefault="00693847" w:rsidP="0069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693847" w:rsidRPr="000A2186" w14:paraId="7EAA37CB" w14:textId="77777777" w:rsidTr="00A323B6">
      <w:tc>
        <w:tcPr>
          <w:tcW w:w="918" w:type="dxa"/>
          <w:tcBorders>
            <w:top w:val="single" w:sz="4" w:space="0" w:color="auto"/>
            <w:right w:val="single" w:sz="4" w:space="0" w:color="auto"/>
          </w:tcBorders>
        </w:tcPr>
        <w:p w14:paraId="70573A30" w14:textId="77777777" w:rsidR="00693847" w:rsidRPr="000A2186" w:rsidRDefault="00693847" w:rsidP="00693847">
          <w:pPr>
            <w:pStyle w:val="Footer"/>
            <w:spacing w:before="60"/>
            <w:jc w:val="right"/>
            <w:rPr>
              <w:rFonts w:cs="Arial"/>
              <w:bCs/>
              <w:color w:val="00B1B0"/>
              <w:sz w:val="14"/>
              <w:szCs w:val="14"/>
              <w14:numForm w14:val="oldStyle"/>
            </w:rPr>
          </w:pP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Pr="00A7054F">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r w:rsidRPr="000A2186">
            <w:rPr>
              <w:rFonts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p>
      </w:tc>
      <w:tc>
        <w:tcPr>
          <w:tcW w:w="7938" w:type="dxa"/>
          <w:tcBorders>
            <w:top w:val="single" w:sz="4" w:space="0" w:color="auto"/>
            <w:left w:val="single" w:sz="4" w:space="0" w:color="auto"/>
          </w:tcBorders>
        </w:tcPr>
        <w:p w14:paraId="5D602E49" w14:textId="77777777" w:rsidR="00693847" w:rsidRPr="00CD1F31" w:rsidRDefault="00693847" w:rsidP="00693847">
          <w:pPr>
            <w:pStyle w:val="Footer"/>
            <w:spacing w:before="60"/>
            <w:jc w:val="right"/>
            <w:rPr>
              <w:rFonts w:cs="Arial"/>
              <w:color w:val="00B1B0"/>
              <w:sz w:val="14"/>
              <w:szCs w:val="14"/>
            </w:rPr>
          </w:pPr>
          <w:r w:rsidRPr="000A2186">
            <w:rPr>
              <w:rFonts w:cs="Arial"/>
              <w:color w:val="00B1B0"/>
              <w:sz w:val="14"/>
              <w:szCs w:val="14"/>
            </w:rPr>
            <w:t xml:space="preserve">CMHA S/M </w:t>
          </w:r>
          <w:r>
            <w:rPr>
              <w:rFonts w:cs="Arial"/>
              <w:color w:val="00B1B0"/>
              <w:sz w:val="14"/>
              <w:szCs w:val="14"/>
            </w:rPr>
            <w:t>EMPLOYEE</w:t>
          </w:r>
          <w:r w:rsidRPr="000A2186">
            <w:rPr>
              <w:rFonts w:cs="Arial"/>
              <w:color w:val="00B1B0"/>
              <w:sz w:val="14"/>
              <w:szCs w:val="14"/>
            </w:rPr>
            <w:t xml:space="preserve"> POLICIES: </w:t>
          </w:r>
          <w:r>
            <w:rPr>
              <w:rFonts w:cs="Arial"/>
              <w:color w:val="00B1B0"/>
              <w:sz w:val="14"/>
              <w:szCs w:val="14"/>
            </w:rPr>
            <w:t>Accessible Customer Service – Service Animals</w:t>
          </w:r>
          <w:r w:rsidRPr="00130FDD">
            <w:rPr>
              <w:rFonts w:cs="Arial"/>
              <w:color w:val="00B1B0"/>
              <w:sz w:val="12"/>
              <w:szCs w:val="12"/>
            </w:rPr>
            <w:t xml:space="preserve"> </w:t>
          </w:r>
        </w:p>
        <w:p w14:paraId="4DDC8142" w14:textId="77777777" w:rsidR="00693847" w:rsidRPr="000A2186" w:rsidRDefault="00693847" w:rsidP="00693847">
          <w:pPr>
            <w:pStyle w:val="Footer"/>
            <w:spacing w:before="60"/>
            <w:jc w:val="right"/>
            <w:rPr>
              <w:rFonts w:cs="Arial"/>
              <w:color w:val="00B1B0"/>
              <w:sz w:val="14"/>
              <w:szCs w:val="14"/>
            </w:rPr>
          </w:pPr>
        </w:p>
        <w:p w14:paraId="1F57998B" w14:textId="77777777" w:rsidR="00693847" w:rsidRPr="000A2186" w:rsidRDefault="00693847" w:rsidP="00693847">
          <w:pPr>
            <w:pStyle w:val="Footer"/>
            <w:spacing w:before="60"/>
            <w:rPr>
              <w:rFonts w:cs="Arial"/>
              <w:color w:val="00B1B0"/>
              <w:sz w:val="14"/>
              <w:szCs w:val="14"/>
            </w:rPr>
          </w:pPr>
        </w:p>
      </w:tc>
    </w:tr>
  </w:tbl>
  <w:p w14:paraId="375F3408" w14:textId="1241374E" w:rsidR="00693847" w:rsidRPr="00693847" w:rsidRDefault="0069384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C3B5D" w14:textId="77777777" w:rsidR="00693847" w:rsidRDefault="00693847" w:rsidP="00693847">
      <w:pPr>
        <w:spacing w:after="0" w:line="240" w:lineRule="auto"/>
      </w:pPr>
      <w:r>
        <w:separator/>
      </w:r>
    </w:p>
  </w:footnote>
  <w:footnote w:type="continuationSeparator" w:id="0">
    <w:p w14:paraId="29D4D29E" w14:textId="77777777" w:rsidR="00693847" w:rsidRDefault="00693847" w:rsidP="0069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F506C"/>
    <w:multiLevelType w:val="hybridMultilevel"/>
    <w:tmpl w:val="88FA646C"/>
    <w:lvl w:ilvl="0" w:tplc="D9900B8C">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7955AD2"/>
    <w:multiLevelType w:val="hybridMultilevel"/>
    <w:tmpl w:val="2E1C42BE"/>
    <w:lvl w:ilvl="0" w:tplc="EE32A5FE">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AFB43A5"/>
    <w:multiLevelType w:val="hybridMultilevel"/>
    <w:tmpl w:val="D03057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975BD6"/>
    <w:multiLevelType w:val="hybridMultilevel"/>
    <w:tmpl w:val="65F49F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5C"/>
    <w:rsid w:val="001B5A83"/>
    <w:rsid w:val="0036105C"/>
    <w:rsid w:val="00693847"/>
    <w:rsid w:val="00877F95"/>
    <w:rsid w:val="008A0B0B"/>
    <w:rsid w:val="00902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C70C"/>
  <w15:chartTrackingRefBased/>
  <w15:docId w15:val="{D3218BE8-59F8-4075-AE3B-3D2EC4A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5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5C"/>
    <w:pPr>
      <w:ind w:left="720"/>
      <w:contextualSpacing/>
    </w:pPr>
  </w:style>
  <w:style w:type="paragraph" w:styleId="Header">
    <w:name w:val="header"/>
    <w:basedOn w:val="Normal"/>
    <w:link w:val="HeaderChar"/>
    <w:uiPriority w:val="99"/>
    <w:unhideWhenUsed/>
    <w:rsid w:val="0069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47"/>
    <w:rPr>
      <w:rFonts w:ascii="Arial" w:hAnsi="Arial"/>
      <w:sz w:val="24"/>
    </w:rPr>
  </w:style>
  <w:style w:type="paragraph" w:styleId="Footer">
    <w:name w:val="footer"/>
    <w:basedOn w:val="Normal"/>
    <w:link w:val="FooterChar"/>
    <w:uiPriority w:val="99"/>
    <w:unhideWhenUsed/>
    <w:rsid w:val="0069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4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Lamb</dc:creator>
  <cp:keywords/>
  <dc:description/>
  <cp:lastModifiedBy>Harriet Lamb</cp:lastModifiedBy>
  <cp:revision>2</cp:revision>
  <dcterms:created xsi:type="dcterms:W3CDTF">2021-09-16T17:46:00Z</dcterms:created>
  <dcterms:modified xsi:type="dcterms:W3CDTF">2021-09-16T17:46:00Z</dcterms:modified>
</cp:coreProperties>
</file>