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30"/>
        <w:gridCol w:w="1915"/>
        <w:gridCol w:w="4678"/>
      </w:tblGrid>
      <w:tr w:rsidR="00A42021" w:rsidRPr="00CE742D" w14:paraId="316A58D5" w14:textId="77777777" w:rsidTr="00DD7A88">
        <w:tc>
          <w:tcPr>
            <w:tcW w:w="4430" w:type="dxa"/>
            <w:tcBorders>
              <w:top w:val="nil"/>
              <w:left w:val="nil"/>
            </w:tcBorders>
          </w:tcPr>
          <w:p w14:paraId="228BDA00" w14:textId="77777777" w:rsidR="00A42021" w:rsidRPr="00CE742D" w:rsidRDefault="00A42021" w:rsidP="00DD7A88">
            <w:pPr>
              <w:rPr>
                <w:rFonts w:cs="Arial"/>
                <w:b/>
                <w:szCs w:val="24"/>
              </w:rPr>
            </w:pPr>
            <w:r w:rsidRPr="00CE742D">
              <w:rPr>
                <w:rFonts w:cs="Arial"/>
                <w:b/>
                <w:noProof/>
                <w:szCs w:val="24"/>
                <w:lang w:eastAsia="en-CA"/>
              </w:rPr>
              <w:drawing>
                <wp:inline distT="0" distB="0" distL="0" distR="0" wp14:anchorId="7B9E580E" wp14:editId="04A50049">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p w14:paraId="6A36FAE7" w14:textId="77777777" w:rsidR="00A42021" w:rsidRPr="00CE742D" w:rsidRDefault="00A42021" w:rsidP="00DD7A88">
            <w:pPr>
              <w:rPr>
                <w:rFonts w:cs="Arial"/>
                <w:b/>
                <w:szCs w:val="24"/>
              </w:rPr>
            </w:pPr>
          </w:p>
        </w:tc>
        <w:tc>
          <w:tcPr>
            <w:tcW w:w="6593" w:type="dxa"/>
            <w:gridSpan w:val="2"/>
          </w:tcPr>
          <w:p w14:paraId="5A446601" w14:textId="77777777" w:rsidR="00A42021" w:rsidRPr="00CE742D" w:rsidRDefault="00A42021" w:rsidP="00DD7A88">
            <w:pPr>
              <w:jc w:val="right"/>
              <w:rPr>
                <w:rFonts w:cs="Arial"/>
                <w:szCs w:val="24"/>
              </w:rPr>
            </w:pPr>
          </w:p>
          <w:p w14:paraId="32AD395A" w14:textId="77777777" w:rsidR="00A42021" w:rsidRPr="00574B71" w:rsidRDefault="00A42021" w:rsidP="00A42021">
            <w:pPr>
              <w:jc w:val="right"/>
              <w:rPr>
                <w:b/>
                <w:bCs/>
                <w:lang w:val="fr-CA"/>
              </w:rPr>
            </w:pPr>
            <w:r w:rsidRPr="00574B71">
              <w:rPr>
                <w:b/>
                <w:bCs/>
                <w:lang w:val="fr-CA"/>
              </w:rPr>
              <w:t>POLITIQUES DES EMPLOYÉS</w:t>
            </w:r>
          </w:p>
          <w:p w14:paraId="3A7DFAC0" w14:textId="77777777" w:rsidR="00A42021" w:rsidRPr="00574B71" w:rsidRDefault="00A42021" w:rsidP="00A42021">
            <w:pPr>
              <w:jc w:val="right"/>
              <w:rPr>
                <w:lang w:val="fr-CA"/>
              </w:rPr>
            </w:pPr>
            <w:r w:rsidRPr="00574B71">
              <w:rPr>
                <w:lang w:val="fr-CA"/>
              </w:rPr>
              <w:t xml:space="preserve">Catégorie : </w:t>
            </w:r>
            <w:r w:rsidRPr="00574B71">
              <w:rPr>
                <w:b/>
                <w:bCs/>
                <w:lang w:val="fr-CA"/>
              </w:rPr>
              <w:t xml:space="preserve">Accessibilité </w:t>
            </w:r>
          </w:p>
          <w:p w14:paraId="5756A0F9" w14:textId="2E3B4405" w:rsidR="00A42021" w:rsidRPr="00CE742D" w:rsidRDefault="00A42021" w:rsidP="00DD7A88">
            <w:pPr>
              <w:jc w:val="right"/>
              <w:rPr>
                <w:rFonts w:cs="Arial"/>
                <w:b/>
                <w:szCs w:val="24"/>
              </w:rPr>
            </w:pPr>
          </w:p>
        </w:tc>
      </w:tr>
      <w:tr w:rsidR="00A42021" w:rsidRPr="00CE742D" w14:paraId="2BCB5B34" w14:textId="77777777" w:rsidTr="00DD7A88">
        <w:tc>
          <w:tcPr>
            <w:tcW w:w="4430" w:type="dxa"/>
          </w:tcPr>
          <w:p w14:paraId="57DEBE31" w14:textId="77777777" w:rsidR="00A42021" w:rsidRPr="00CE742D" w:rsidRDefault="00A42021" w:rsidP="00DD7A88">
            <w:pPr>
              <w:rPr>
                <w:rFonts w:cs="Arial"/>
                <w:szCs w:val="24"/>
              </w:rPr>
            </w:pPr>
          </w:p>
          <w:p w14:paraId="58C365E4" w14:textId="77777777" w:rsidR="00A42021" w:rsidRPr="00574B71" w:rsidRDefault="00A42021" w:rsidP="00A42021">
            <w:pPr>
              <w:rPr>
                <w:lang w:val="fr-CA"/>
              </w:rPr>
            </w:pPr>
            <w:r w:rsidRPr="00574B71">
              <w:rPr>
                <w:b/>
                <w:bCs/>
                <w:lang w:val="fr-CA"/>
              </w:rPr>
              <w:t>Mise en œuvre :</w:t>
            </w:r>
            <w:r w:rsidRPr="00574B71">
              <w:rPr>
                <w:lang w:val="fr-CA"/>
              </w:rPr>
              <w:t xml:space="preserve"> 1</w:t>
            </w:r>
            <w:r w:rsidRPr="00574B71">
              <w:rPr>
                <w:vertAlign w:val="superscript"/>
                <w:lang w:val="fr-CA"/>
              </w:rPr>
              <w:t>er</w:t>
            </w:r>
            <w:r w:rsidRPr="00574B71">
              <w:rPr>
                <w:lang w:val="fr-CA"/>
              </w:rPr>
              <w:t xml:space="preserve"> septembre 2013 </w:t>
            </w:r>
          </w:p>
          <w:p w14:paraId="23C4D66C" w14:textId="5B28B3DE" w:rsidR="00A42021" w:rsidRPr="00CE742D" w:rsidRDefault="00A42021" w:rsidP="00A42021">
            <w:pPr>
              <w:rPr>
                <w:rFonts w:cs="Arial"/>
                <w:szCs w:val="24"/>
              </w:rPr>
            </w:pPr>
            <w:r w:rsidRPr="00574B71">
              <w:rPr>
                <w:b/>
                <w:bCs/>
                <w:lang w:val="fr-CA"/>
              </w:rPr>
              <w:t xml:space="preserve">Revue / Révisée / Approuvée :  </w:t>
            </w:r>
          </w:p>
        </w:tc>
        <w:tc>
          <w:tcPr>
            <w:tcW w:w="1915" w:type="dxa"/>
          </w:tcPr>
          <w:p w14:paraId="5162C054" w14:textId="77777777" w:rsidR="00A42021" w:rsidRPr="00CE742D" w:rsidRDefault="00A42021" w:rsidP="00DD7A88">
            <w:pPr>
              <w:rPr>
                <w:rFonts w:cs="Arial"/>
                <w:szCs w:val="24"/>
              </w:rPr>
            </w:pPr>
          </w:p>
          <w:p w14:paraId="204CEF89" w14:textId="77777777" w:rsidR="00AF6173" w:rsidRPr="00574B71" w:rsidRDefault="00AF6173" w:rsidP="00AF6173">
            <w:pPr>
              <w:rPr>
                <w:lang w:val="fr-CA"/>
              </w:rPr>
            </w:pPr>
            <w:r w:rsidRPr="00574B71">
              <w:rPr>
                <w:lang w:val="fr-CA"/>
              </w:rPr>
              <w:t>Numéro :</w:t>
            </w:r>
          </w:p>
          <w:p w14:paraId="4AC7A7A2" w14:textId="428E143D" w:rsidR="00A42021" w:rsidRPr="00CE742D" w:rsidRDefault="00AF6173" w:rsidP="00AF6173">
            <w:pPr>
              <w:rPr>
                <w:rFonts w:cs="Arial"/>
                <w:b/>
                <w:szCs w:val="24"/>
              </w:rPr>
            </w:pPr>
            <w:r w:rsidRPr="00574B71">
              <w:rPr>
                <w:lang w:val="fr-CA"/>
              </w:rPr>
              <w:t>AL-AC-C0003</w:t>
            </w:r>
          </w:p>
        </w:tc>
        <w:tc>
          <w:tcPr>
            <w:tcW w:w="4678" w:type="dxa"/>
            <w:shd w:val="clear" w:color="auto" w:fill="D9D9D9" w:themeFill="background1" w:themeFillShade="D9"/>
          </w:tcPr>
          <w:p w14:paraId="6876C4B8" w14:textId="77777777" w:rsidR="00A42021" w:rsidRPr="00CE742D" w:rsidRDefault="00A42021" w:rsidP="00DD7A88">
            <w:pPr>
              <w:jc w:val="right"/>
              <w:rPr>
                <w:rFonts w:cs="Arial"/>
                <w:b/>
                <w:szCs w:val="24"/>
              </w:rPr>
            </w:pPr>
          </w:p>
          <w:p w14:paraId="2F65C300" w14:textId="7E80E5DE" w:rsidR="00A42021" w:rsidRPr="00CE742D" w:rsidRDefault="00AF6173" w:rsidP="00DD7A88">
            <w:pPr>
              <w:jc w:val="right"/>
              <w:rPr>
                <w:rFonts w:cs="Arial"/>
                <w:b/>
                <w:szCs w:val="24"/>
              </w:rPr>
            </w:pPr>
            <w:r w:rsidRPr="00574B71">
              <w:rPr>
                <w:b/>
                <w:bCs/>
                <w:lang w:val="fr-CA"/>
              </w:rPr>
              <w:t>ACCESSIBILITÉ DES SERVICES À LA CLIENTÈLE – APPAREILS FONCTIONNELS</w:t>
            </w:r>
          </w:p>
          <w:p w14:paraId="6DF6B003" w14:textId="77777777" w:rsidR="00A42021" w:rsidRPr="00CE742D" w:rsidRDefault="00A42021" w:rsidP="00DD7A88">
            <w:pPr>
              <w:jc w:val="right"/>
              <w:rPr>
                <w:rFonts w:cs="Arial"/>
                <w:b/>
                <w:szCs w:val="24"/>
              </w:rPr>
            </w:pPr>
          </w:p>
        </w:tc>
      </w:tr>
    </w:tbl>
    <w:p w14:paraId="0E7E1FE7" w14:textId="57DACB0D" w:rsidR="00715D46" w:rsidRPr="00574B71" w:rsidRDefault="00A42021" w:rsidP="00AF6173">
      <w:pPr>
        <w:rPr>
          <w:lang w:val="fr-CA"/>
        </w:rPr>
      </w:pPr>
      <w:r w:rsidRPr="00CE742D">
        <w:rPr>
          <w:rFonts w:cs="Arial"/>
          <w:szCs w:val="24"/>
        </w:rPr>
        <w:t xml:space="preserve"> </w:t>
      </w:r>
      <w:r w:rsidR="00715D46" w:rsidRPr="00574B71">
        <w:rPr>
          <w:lang w:val="fr-CA"/>
        </w:rPr>
        <w:t xml:space="preserve"> </w:t>
      </w:r>
    </w:p>
    <w:p w14:paraId="179AA0AF" w14:textId="77777777" w:rsidR="00715D46" w:rsidRPr="00AF6173" w:rsidRDefault="00715D46" w:rsidP="00AF6173">
      <w:pPr>
        <w:shd w:val="clear" w:color="auto" w:fill="D9D9D9" w:themeFill="background1" w:themeFillShade="D9"/>
        <w:jc w:val="center"/>
        <w:rPr>
          <w:rFonts w:cs="Arial"/>
          <w:b/>
          <w:szCs w:val="24"/>
        </w:rPr>
      </w:pPr>
      <w:r w:rsidRPr="00AF6173">
        <w:rPr>
          <w:rFonts w:cs="Arial"/>
          <w:b/>
          <w:szCs w:val="24"/>
        </w:rPr>
        <w:t>POLITIQUE</w:t>
      </w:r>
    </w:p>
    <w:p w14:paraId="22132328" w14:textId="77777777" w:rsidR="00715D46" w:rsidRPr="00574B71" w:rsidRDefault="00715D46" w:rsidP="00715D46">
      <w:pPr>
        <w:rPr>
          <w:lang w:val="fr-CA"/>
        </w:rPr>
      </w:pPr>
      <w:r w:rsidRPr="00574B71">
        <w:rPr>
          <w:rFonts w:cs="Arial"/>
          <w:szCs w:val="24"/>
          <w:lang w:val="fr-CA"/>
        </w:rPr>
        <w:t>L’Association canadienne pour la santé mentale (ACSM) a pour engagement de répondre aux besoins de tout un chacun. Cela dit, nous nous efforçons de procurer des biens et des services de qualité qui sont accessibles à tous. La présente politique a pour objectif d’établir des lignes directrices pour la prestation de biens et de services aux personnes handicapées qui ont besoin d’appareils fonctionnels.</w:t>
      </w:r>
    </w:p>
    <w:p w14:paraId="5338773E" w14:textId="77777777" w:rsidR="00715D46" w:rsidRPr="00574B71" w:rsidRDefault="00715D46" w:rsidP="00715D46">
      <w:pPr>
        <w:rPr>
          <w:lang w:val="fr-CA"/>
        </w:rPr>
      </w:pPr>
      <w:r w:rsidRPr="00574B71">
        <w:rPr>
          <w:b/>
          <w:bCs/>
          <w:lang w:val="fr-CA"/>
        </w:rPr>
        <w:t>Définition :</w:t>
      </w:r>
      <w:r w:rsidRPr="00574B71">
        <w:rPr>
          <w:lang w:val="fr-CA"/>
        </w:rPr>
        <w:t xml:space="preserve"> </w:t>
      </w:r>
    </w:p>
    <w:p w14:paraId="38436AD4" w14:textId="77777777" w:rsidR="00715D46" w:rsidRPr="00574B71" w:rsidRDefault="00715D46" w:rsidP="00715D46">
      <w:pPr>
        <w:rPr>
          <w:lang w:val="fr-CA"/>
        </w:rPr>
      </w:pPr>
      <w:r w:rsidRPr="00574B71">
        <w:rPr>
          <w:u w:val="single"/>
          <w:lang w:val="fr-CA"/>
        </w:rPr>
        <w:t>Appareil fonctionnel</w:t>
      </w:r>
      <w:r w:rsidRPr="00574B71">
        <w:rPr>
          <w:lang w:val="fr-CA"/>
        </w:rPr>
        <w:t xml:space="preserve"> </w:t>
      </w:r>
    </w:p>
    <w:p w14:paraId="0D6610AC" w14:textId="77777777" w:rsidR="00715D46" w:rsidRPr="00574B71" w:rsidRDefault="00715D46" w:rsidP="00715D46">
      <w:pPr>
        <w:rPr>
          <w:lang w:val="fr-CA"/>
        </w:rPr>
      </w:pPr>
      <w:r w:rsidRPr="00574B71">
        <w:rPr>
          <w:lang w:val="fr-CA"/>
        </w:rPr>
        <w:t>S’entend de tout appareil qui aide une personne handicapée à mener des activités ou à se prévaloir de services offerts par des personnes ou des organismes dans le cadre de la norme de service à la clientèle. Parmi les appareils fonctionnels, notons (mais sans nous y limiter) les fauteuils roulants, les appareils de lecture, les appareils d’enregistrement, les appareils auditifs, les appareils de préhension et les canes. (</w:t>
      </w:r>
      <w:r w:rsidRPr="00574B71">
        <w:rPr>
          <w:rFonts w:cs="Arial"/>
          <w:i/>
          <w:szCs w:val="24"/>
          <w:lang w:val="fr-CA"/>
        </w:rPr>
        <w:t>Loi de 2005 sur l’accessibilité pour les personnes handicapées de l’Ontario</w:t>
      </w:r>
      <w:r w:rsidRPr="00574B71">
        <w:rPr>
          <w:rFonts w:cs="Arial"/>
          <w:szCs w:val="24"/>
          <w:lang w:val="fr-CA"/>
        </w:rPr>
        <w:t>)</w:t>
      </w:r>
    </w:p>
    <w:p w14:paraId="1F9A5F2B" w14:textId="77777777" w:rsidR="00715D46" w:rsidRPr="00AF6173" w:rsidRDefault="00715D46" w:rsidP="00AF6173">
      <w:pPr>
        <w:shd w:val="clear" w:color="auto" w:fill="D9D9D9" w:themeFill="background1" w:themeFillShade="D9"/>
        <w:jc w:val="center"/>
        <w:rPr>
          <w:rFonts w:cs="Arial"/>
          <w:b/>
          <w:szCs w:val="24"/>
        </w:rPr>
      </w:pPr>
      <w:r w:rsidRPr="00AF6173">
        <w:rPr>
          <w:rFonts w:cs="Arial"/>
          <w:b/>
          <w:szCs w:val="24"/>
        </w:rPr>
        <w:t>PROCÉDURE</w:t>
      </w:r>
    </w:p>
    <w:p w14:paraId="0041AF72" w14:textId="77777777" w:rsidR="00715D46" w:rsidRPr="00574B71" w:rsidRDefault="00715D46" w:rsidP="00715D46">
      <w:pPr>
        <w:pStyle w:val="ListParagraph"/>
        <w:numPr>
          <w:ilvl w:val="0"/>
          <w:numId w:val="1"/>
        </w:numPr>
        <w:spacing w:after="0"/>
        <w:rPr>
          <w:lang w:val="fr-CA"/>
        </w:rPr>
      </w:pPr>
      <w:r w:rsidRPr="00574B71">
        <w:rPr>
          <w:lang w:val="fr-CA"/>
        </w:rPr>
        <w:t xml:space="preserve">Informer les personnes de tout élément d’accessibilité dans le milieu immédiat qui répond à leurs besoins particuliers (p. ex., téléphone public, salle de toilettes accessible, etc.). Lorsqu’un autre type d’appareil fonctionnel est requis, l’ACSM offrira d’autres mesures ou appareils raisonnablement appropriés ou communiquera avec d’autres organismes pour obtenir le soutien nécessaire. </w:t>
      </w:r>
    </w:p>
    <w:p w14:paraId="72F44C14" w14:textId="77777777" w:rsidR="00715D46" w:rsidRPr="00574B71" w:rsidRDefault="00715D46" w:rsidP="00715D46">
      <w:pPr>
        <w:pStyle w:val="ListParagraph"/>
        <w:numPr>
          <w:ilvl w:val="0"/>
          <w:numId w:val="1"/>
        </w:numPr>
        <w:spacing w:after="0"/>
        <w:rPr>
          <w:lang w:val="fr-CA"/>
        </w:rPr>
      </w:pPr>
      <w:r w:rsidRPr="00574B71">
        <w:rPr>
          <w:lang w:val="fr-CA"/>
        </w:rPr>
        <w:t>Les personnes handicapées peuvent choisir d’utiliser leurs propres appareils fonctionnels</w:t>
      </w:r>
      <w:r>
        <w:rPr>
          <w:lang w:val="fr-CA"/>
        </w:rPr>
        <w:t xml:space="preserve"> dans le cadre de leur accès aux</w:t>
      </w:r>
      <w:r w:rsidRPr="00574B71">
        <w:rPr>
          <w:lang w:val="fr-CA"/>
        </w:rPr>
        <w:t xml:space="preserve"> biens et </w:t>
      </w:r>
      <w:r>
        <w:rPr>
          <w:lang w:val="fr-CA"/>
        </w:rPr>
        <w:t>aux</w:t>
      </w:r>
      <w:r w:rsidRPr="00574B71">
        <w:rPr>
          <w:lang w:val="fr-CA"/>
        </w:rPr>
        <w:t xml:space="preserve"> services. L’ACSM reconnaît l’importance de ces appareils et permettra aux personnes handicapées d’utiliser leurs propres appareils fonctionnels pour obtenir, utiliser ou bénéficier des services offerts par l’ACSM. </w:t>
      </w:r>
    </w:p>
    <w:p w14:paraId="211786CB" w14:textId="77777777" w:rsidR="00715D46" w:rsidRPr="00574B71" w:rsidRDefault="00715D46" w:rsidP="00715D46">
      <w:pPr>
        <w:pStyle w:val="ListParagraph"/>
        <w:numPr>
          <w:ilvl w:val="0"/>
          <w:numId w:val="1"/>
        </w:numPr>
        <w:spacing w:after="0"/>
        <w:rPr>
          <w:lang w:val="fr-CA"/>
        </w:rPr>
      </w:pPr>
      <w:r w:rsidRPr="00574B71">
        <w:rPr>
          <w:lang w:val="fr-CA"/>
        </w:rPr>
        <w:t>Si une personne handicapée n’est pas en mesure de se prévaloir des services de l’ACSM en utilisant son propre appareil fonctionnel, l’ACSM évaluera les modes de prestation de services et les services éventuels en vue de répondre aux besoins de cette personne.</w:t>
      </w:r>
    </w:p>
    <w:p w14:paraId="1E9ACE6C" w14:textId="77777777" w:rsidR="00715D46" w:rsidRPr="00574B71" w:rsidRDefault="00715D46" w:rsidP="00715D46">
      <w:pPr>
        <w:pStyle w:val="ListParagraph"/>
        <w:numPr>
          <w:ilvl w:val="0"/>
          <w:numId w:val="1"/>
        </w:numPr>
        <w:spacing w:after="0"/>
        <w:rPr>
          <w:lang w:val="fr-CA"/>
        </w:rPr>
      </w:pPr>
      <w:r w:rsidRPr="00574B71">
        <w:rPr>
          <w:lang w:val="fr-CA"/>
        </w:rPr>
        <w:t xml:space="preserve">Le personnel de l’ACSM, les entrepreneurs tiers et toute autre personne qui procure des services aux particuliers/clients doivent bien connaître les appareils fonctionnels et les autres éléments d’accessibilité que l’ACSM offre afin d’accroître l’accessibilité de ses services pour les personnes handicapées.  </w:t>
      </w:r>
    </w:p>
    <w:p w14:paraId="33EDD350" w14:textId="77777777" w:rsidR="00715D46" w:rsidRPr="00574B71" w:rsidRDefault="00715D46" w:rsidP="00AF6173">
      <w:pPr>
        <w:spacing w:after="0"/>
        <w:jc w:val="center"/>
        <w:rPr>
          <w:b/>
          <w:bCs/>
          <w:u w:val="single"/>
          <w:lang w:val="fr-CA"/>
        </w:rPr>
      </w:pPr>
    </w:p>
    <w:p w14:paraId="45D061E1" w14:textId="77777777" w:rsidR="00715D46" w:rsidRPr="00AF6173" w:rsidRDefault="00715D46" w:rsidP="00AF6173">
      <w:pPr>
        <w:shd w:val="clear" w:color="auto" w:fill="D9D9D9" w:themeFill="background1" w:themeFillShade="D9"/>
        <w:jc w:val="center"/>
        <w:rPr>
          <w:rFonts w:cs="Arial"/>
          <w:b/>
          <w:szCs w:val="24"/>
        </w:rPr>
      </w:pPr>
      <w:r w:rsidRPr="00AF6173">
        <w:rPr>
          <w:rFonts w:cs="Arial"/>
          <w:b/>
          <w:szCs w:val="24"/>
        </w:rPr>
        <w:t>DOCUMENTS DE RÉFÉRENCE</w:t>
      </w:r>
    </w:p>
    <w:p w14:paraId="318DE5A8" w14:textId="60058EA6" w:rsidR="008A0B0B" w:rsidRPr="00AF6173" w:rsidRDefault="00715D46">
      <w:pPr>
        <w:rPr>
          <w:lang w:val="fr-CA"/>
        </w:rPr>
      </w:pPr>
      <w:r w:rsidRPr="00574B71">
        <w:rPr>
          <w:lang w:val="fr-CA"/>
        </w:rPr>
        <w:t xml:space="preserve"> RESPONSABLE : Directeur général / Directrice générale</w:t>
      </w:r>
    </w:p>
    <w:sectPr w:rsidR="008A0B0B" w:rsidRPr="00AF6173" w:rsidSect="00A42021">
      <w:footerReference w:type="default" r:id="rId9"/>
      <w:pgSz w:w="12240" w:h="15840" w:code="1"/>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04CC7" w14:textId="77777777" w:rsidR="00AF6173" w:rsidRDefault="00AF6173" w:rsidP="00AF6173">
      <w:pPr>
        <w:spacing w:after="0" w:line="240" w:lineRule="auto"/>
      </w:pPr>
      <w:r>
        <w:separator/>
      </w:r>
    </w:p>
  </w:endnote>
  <w:endnote w:type="continuationSeparator" w:id="0">
    <w:p w14:paraId="27ECE667" w14:textId="77777777" w:rsidR="00AF6173" w:rsidRDefault="00AF6173" w:rsidP="00AF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AF6173" w:rsidRPr="000A2186" w14:paraId="164074A3" w14:textId="77777777" w:rsidTr="00DD7A88">
      <w:tc>
        <w:tcPr>
          <w:tcW w:w="918" w:type="dxa"/>
          <w:tcBorders>
            <w:top w:val="single" w:sz="4" w:space="0" w:color="auto"/>
            <w:right w:val="single" w:sz="4" w:space="0" w:color="auto"/>
          </w:tcBorders>
        </w:tcPr>
        <w:p w14:paraId="1BA5DAD3" w14:textId="77777777" w:rsidR="00AF6173" w:rsidRPr="000A2186" w:rsidRDefault="00AF6173" w:rsidP="00AF6173">
          <w:pPr>
            <w:pStyle w:val="Footer"/>
            <w:spacing w:before="60"/>
            <w:jc w:val="right"/>
            <w:rPr>
              <w:rFonts w:cs="Arial"/>
              <w:bCs/>
              <w:color w:val="00B1B0"/>
              <w:sz w:val="14"/>
              <w:szCs w:val="14"/>
              <w14:numForm w14:val="oldStyle"/>
            </w:rPr>
          </w:pP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begin"/>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instrText xml:space="preserve"> PAGE   \* MERGEFORMAT </w:instrText>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separate"/>
          </w:r>
          <w:r w:rsidRPr="00C81F41">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r w:rsidRPr="000A2186">
            <w:rPr>
              <w:rFonts w:cs="Arial"/>
              <w:bCs/>
              <w:noProof/>
              <w:color w:val="00B1B0"/>
              <w:sz w:val="14"/>
              <w:szCs w:val="14"/>
              <w14:shadow w14:blurRad="50800" w14:dist="38100" w14:dir="2700000" w14:sx="100000" w14:sy="100000" w14:kx="0" w14:ky="0" w14:algn="tl">
                <w14:srgbClr w14:val="000000">
                  <w14:alpha w14:val="60000"/>
                </w14:srgbClr>
              </w14:shadow>
              <w14:numForm w14:val="oldStyle"/>
            </w:rPr>
            <w:fldChar w:fldCharType="end"/>
          </w:r>
          <w:r>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p>
      </w:tc>
      <w:tc>
        <w:tcPr>
          <w:tcW w:w="7938" w:type="dxa"/>
          <w:tcBorders>
            <w:top w:val="single" w:sz="4" w:space="0" w:color="auto"/>
            <w:left w:val="single" w:sz="4" w:space="0" w:color="auto"/>
          </w:tcBorders>
        </w:tcPr>
        <w:p w14:paraId="44C88E9E" w14:textId="77777777" w:rsidR="00AF6173" w:rsidRPr="00CD1F31" w:rsidRDefault="00AF6173" w:rsidP="00AF6173">
          <w:pPr>
            <w:pStyle w:val="Footer"/>
            <w:spacing w:before="60"/>
            <w:jc w:val="right"/>
            <w:rPr>
              <w:rFonts w:cs="Arial"/>
              <w:color w:val="00B1B0"/>
              <w:sz w:val="14"/>
              <w:szCs w:val="14"/>
            </w:rPr>
          </w:pPr>
          <w:r w:rsidRPr="000A2186">
            <w:rPr>
              <w:rFonts w:cs="Arial"/>
              <w:color w:val="00B1B0"/>
              <w:sz w:val="14"/>
              <w:szCs w:val="14"/>
            </w:rPr>
            <w:t xml:space="preserve">CMHA S/M </w:t>
          </w:r>
          <w:r>
            <w:rPr>
              <w:rFonts w:cs="Arial"/>
              <w:color w:val="00B1B0"/>
              <w:sz w:val="14"/>
              <w:szCs w:val="14"/>
            </w:rPr>
            <w:t>EMPLOYEE</w:t>
          </w:r>
          <w:r w:rsidRPr="000A2186">
            <w:rPr>
              <w:rFonts w:cs="Arial"/>
              <w:color w:val="00B1B0"/>
              <w:sz w:val="14"/>
              <w:szCs w:val="14"/>
            </w:rPr>
            <w:t xml:space="preserve"> POLICIES: </w:t>
          </w:r>
          <w:r>
            <w:rPr>
              <w:rFonts w:cs="Arial"/>
              <w:color w:val="00B1B0"/>
              <w:sz w:val="14"/>
              <w:szCs w:val="14"/>
            </w:rPr>
            <w:t>Accessible Customer Service – Assistive Devices</w:t>
          </w:r>
          <w:r w:rsidRPr="00130FDD">
            <w:rPr>
              <w:rFonts w:cs="Arial"/>
              <w:color w:val="00B1B0"/>
              <w:sz w:val="12"/>
              <w:szCs w:val="12"/>
            </w:rPr>
            <w:t xml:space="preserve"> </w:t>
          </w:r>
        </w:p>
        <w:p w14:paraId="5D14258E" w14:textId="77777777" w:rsidR="00AF6173" w:rsidRPr="000A2186" w:rsidRDefault="00AF6173" w:rsidP="00AF6173">
          <w:pPr>
            <w:pStyle w:val="Footer"/>
            <w:spacing w:before="60"/>
            <w:jc w:val="right"/>
            <w:rPr>
              <w:rFonts w:cs="Arial"/>
              <w:color w:val="00B1B0"/>
              <w:sz w:val="14"/>
              <w:szCs w:val="14"/>
            </w:rPr>
          </w:pPr>
        </w:p>
        <w:p w14:paraId="68F1907A" w14:textId="77777777" w:rsidR="00AF6173" w:rsidRPr="000A2186" w:rsidRDefault="00AF6173" w:rsidP="00AF6173">
          <w:pPr>
            <w:pStyle w:val="Footer"/>
            <w:spacing w:before="60"/>
            <w:rPr>
              <w:rFonts w:cs="Arial"/>
              <w:color w:val="00B1B0"/>
              <w:sz w:val="14"/>
              <w:szCs w:val="14"/>
            </w:rPr>
          </w:pPr>
        </w:p>
      </w:tc>
    </w:tr>
  </w:tbl>
  <w:p w14:paraId="52E5A20F" w14:textId="2C24590E" w:rsidR="00062E6D" w:rsidRPr="00062E6D" w:rsidRDefault="00062E6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182F3" w14:textId="77777777" w:rsidR="00AF6173" w:rsidRDefault="00AF6173" w:rsidP="00AF6173">
      <w:pPr>
        <w:spacing w:after="0" w:line="240" w:lineRule="auto"/>
      </w:pPr>
      <w:r>
        <w:separator/>
      </w:r>
    </w:p>
  </w:footnote>
  <w:footnote w:type="continuationSeparator" w:id="0">
    <w:p w14:paraId="16B72BC6" w14:textId="77777777" w:rsidR="00AF6173" w:rsidRDefault="00AF6173" w:rsidP="00AF6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6579D"/>
    <w:multiLevelType w:val="hybridMultilevel"/>
    <w:tmpl w:val="E9F04D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46"/>
    <w:rsid w:val="00062E6D"/>
    <w:rsid w:val="00715D46"/>
    <w:rsid w:val="00877F95"/>
    <w:rsid w:val="008A0B0B"/>
    <w:rsid w:val="00A42021"/>
    <w:rsid w:val="00AF61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72C5"/>
  <w15:chartTrackingRefBased/>
  <w15:docId w15:val="{E76A44CE-AD10-4EEA-B006-D07FBDC8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4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D46"/>
    <w:pPr>
      <w:ind w:left="720"/>
      <w:contextualSpacing/>
    </w:pPr>
  </w:style>
  <w:style w:type="paragraph" w:styleId="Header">
    <w:name w:val="header"/>
    <w:basedOn w:val="Normal"/>
    <w:link w:val="HeaderChar"/>
    <w:uiPriority w:val="99"/>
    <w:unhideWhenUsed/>
    <w:rsid w:val="00AF6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73"/>
    <w:rPr>
      <w:rFonts w:ascii="Arial" w:hAnsi="Arial"/>
      <w:sz w:val="24"/>
    </w:rPr>
  </w:style>
  <w:style w:type="paragraph" w:styleId="Footer">
    <w:name w:val="footer"/>
    <w:basedOn w:val="Normal"/>
    <w:link w:val="FooterChar"/>
    <w:uiPriority w:val="99"/>
    <w:unhideWhenUsed/>
    <w:rsid w:val="00AF6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Lamb</dc:creator>
  <cp:keywords/>
  <dc:description/>
  <cp:lastModifiedBy>Harriet Lamb</cp:lastModifiedBy>
  <cp:revision>2</cp:revision>
  <dcterms:created xsi:type="dcterms:W3CDTF">2021-09-16T16:09:00Z</dcterms:created>
  <dcterms:modified xsi:type="dcterms:W3CDTF">2021-09-16T16:09:00Z</dcterms:modified>
</cp:coreProperties>
</file>